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jc w:val="center"/>
        <w:tblLayout w:type="fixed"/>
        <w:tblLook w:val="0000" w:firstRow="0" w:lastRow="0" w:firstColumn="0" w:lastColumn="0" w:noHBand="0" w:noVBand="0"/>
      </w:tblPr>
      <w:tblGrid>
        <w:gridCol w:w="1701"/>
        <w:gridCol w:w="7230"/>
        <w:gridCol w:w="1701"/>
      </w:tblGrid>
      <w:tr w:rsidR="00686396" w:rsidRPr="002813C8" w14:paraId="67A070B6" w14:textId="77777777" w:rsidTr="00686396">
        <w:trPr>
          <w:cantSplit/>
          <w:trHeight w:val="1417"/>
          <w:jc w:val="center"/>
        </w:trPr>
        <w:tc>
          <w:tcPr>
            <w:tcW w:w="1701" w:type="dxa"/>
          </w:tcPr>
          <w:bookmarkStart w:id="0" w:name="_Hlk201608668"/>
          <w:bookmarkEnd w:id="0"/>
          <w:p w14:paraId="07887B71" w14:textId="7F261081" w:rsidR="00686396" w:rsidRPr="002813C8" w:rsidRDefault="00686396" w:rsidP="0089138D">
            <w:pPr>
              <w:rPr>
                <w:color w:val="FF0000"/>
                <w:sz w:val="30"/>
              </w:rPr>
            </w:pPr>
            <w:r>
              <w:rPr>
                <w:noProof/>
              </w:rPr>
              <mc:AlternateContent>
                <mc:Choice Requires="wps">
                  <w:drawing>
                    <wp:anchor distT="4294967291" distB="4294967291" distL="114300" distR="114300" simplePos="0" relativeHeight="251662336" behindDoc="0" locked="0" layoutInCell="1" allowOverlap="1" wp14:anchorId="5D31CD81" wp14:editId="4E770AD0">
                      <wp:simplePos x="0" y="0"/>
                      <wp:positionH relativeFrom="column">
                        <wp:posOffset>0</wp:posOffset>
                      </wp:positionH>
                      <wp:positionV relativeFrom="paragraph">
                        <wp:posOffset>6349</wp:posOffset>
                      </wp:positionV>
                      <wp:extent cx="6600825"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22F446" id="Straight Connector 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 to="51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"/>
                  </w:pict>
                </mc:Fallback>
              </mc:AlternateContent>
            </w:r>
            <w:r w:rsidR="00D51353">
              <w:rPr>
                <w:noProof/>
                <w:color w:val="FF0000"/>
              </w:rPr>
              <w:drawing>
                <wp:inline distT="0" distB="0" distL="0" distR="0" wp14:anchorId="725427E9" wp14:editId="218C0A03">
                  <wp:extent cx="790575" cy="914400"/>
                  <wp:effectExtent l="0" t="0" r="9525" b="0"/>
                  <wp:docPr id="9" name="Pictur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90575" cy="914400"/>
                          </a:xfrm>
                          <a:prstGeom prst="rect">
                            <a:avLst/>
                          </a:prstGeom>
                          <a:noFill/>
                          <a:ln>
                            <a:noFill/>
                          </a:ln>
                        </pic:spPr>
                      </pic:pic>
                    </a:graphicData>
                  </a:graphic>
                </wp:inline>
              </w:drawing>
            </w:r>
            <w:r>
              <w:rPr>
                <w:noProof/>
              </w:rPr>
              <mc:AlternateContent>
                <mc:Choice Requires="wps">
                  <w:drawing>
                    <wp:anchor distT="4294967291" distB="4294967291" distL="114300" distR="114300" simplePos="0" relativeHeight="251663360" behindDoc="0" locked="0" layoutInCell="1" allowOverlap="1" wp14:anchorId="5AA5AD05" wp14:editId="2B904EC3">
                      <wp:simplePos x="0" y="0"/>
                      <wp:positionH relativeFrom="column">
                        <wp:posOffset>0</wp:posOffset>
                      </wp:positionH>
                      <wp:positionV relativeFrom="paragraph">
                        <wp:posOffset>914399</wp:posOffset>
                      </wp:positionV>
                      <wp:extent cx="6600825" cy="0"/>
                      <wp:effectExtent l="0" t="19050" r="285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881700" id="Straight Connector 4"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in" to="51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" strokeweight="3pt"/>
                  </w:pict>
                </mc:Fallback>
              </mc:AlternateContent>
            </w:r>
          </w:p>
        </w:tc>
        <w:tc>
          <w:tcPr>
            <w:tcW w:w="7230" w:type="dxa"/>
            <w:vAlign w:val="center"/>
          </w:tcPr>
          <w:p w14:paraId="19F46084" w14:textId="77777777" w:rsidR="00686396" w:rsidRPr="002813C8" w:rsidRDefault="00686396" w:rsidP="0089138D">
            <w:pPr>
              <w:outlineLvl w:val="0"/>
              <w:rPr>
                <w:rFonts w:asciiTheme="majorBidi" w:hAnsiTheme="majorBidi" w:cstheme="majorBidi"/>
                <w:b/>
                <w:bCs/>
                <w:i/>
                <w:iCs/>
              </w:rPr>
            </w:pPr>
            <w:r w:rsidRPr="002813C8">
              <w:rPr>
                <w:rFonts w:asciiTheme="majorBidi" w:hAnsiTheme="majorBidi" w:cstheme="majorBidi"/>
                <w:b/>
                <w:bCs/>
                <w:i/>
                <w:iCs/>
              </w:rPr>
              <w:t xml:space="preserve">Research Article </w:t>
            </w:r>
          </w:p>
          <w:p w14:paraId="2A023E50" w14:textId="1D7F9012" w:rsidR="00D51353" w:rsidRDefault="00D51353" w:rsidP="00D51353">
            <w:pPr>
              <w:jc w:val="center"/>
              <w:outlineLvl w:val="0"/>
              <w:rPr>
                <w:spacing w:val="20"/>
                <w:sz w:val="18"/>
                <w:szCs w:val="18"/>
              </w:rPr>
            </w:pPr>
            <w:r>
              <w:rPr>
                <w:sz w:val="28"/>
              </w:rPr>
              <w:t>Chemical Review and Letters</w:t>
            </w:r>
            <w:r>
              <w:br/>
            </w:r>
            <w:r>
              <w:rPr>
                <w:spacing w:val="20"/>
                <w:sz w:val="18"/>
                <w:szCs w:val="18"/>
              </w:rPr>
              <w:t xml:space="preserve">journal homepage: </w:t>
            </w:r>
            <w:hyperlink r:id="rId9" w:history="1">
              <w:r w:rsidR="00BD4586" w:rsidRPr="00C56A70">
                <w:rPr>
                  <w:rStyle w:val="Hyperlink"/>
                  <w:spacing w:val="20"/>
                  <w:sz w:val="18"/>
                  <w:szCs w:val="18"/>
                </w:rPr>
                <w:t>www.chemrevlett.com</w:t>
              </w:r>
            </w:hyperlink>
            <w:r w:rsidR="00BD4586">
              <w:rPr>
                <w:spacing w:val="20"/>
                <w:sz w:val="18"/>
                <w:szCs w:val="18"/>
              </w:rPr>
              <w:t xml:space="preserve"> </w:t>
            </w:r>
          </w:p>
          <w:p w14:paraId="3494F501" w14:textId="331D5D47" w:rsidR="00686396" w:rsidRPr="002813C8" w:rsidRDefault="00D51353" w:rsidP="00D51353">
            <w:pPr>
              <w:jc w:val="center"/>
              <w:outlineLvl w:val="0"/>
              <w:rPr>
                <w:color w:val="FF0000"/>
                <w:sz w:val="19"/>
              </w:rPr>
            </w:pPr>
            <w:r>
              <w:rPr>
                <w:sz w:val="20"/>
                <w:szCs w:val="20"/>
              </w:rPr>
              <w:t>ISSN (online): 2645-4947</w:t>
            </w:r>
            <w:r>
              <w:rPr>
                <w:b/>
                <w:bCs/>
                <w:i/>
                <w:iCs/>
                <w:color w:val="FF0000"/>
              </w:rPr>
              <w:t xml:space="preserve">  </w:t>
            </w:r>
            <w:r>
              <w:rPr>
                <w:color w:val="000000"/>
                <w:sz w:val="20"/>
                <w:szCs w:val="20"/>
              </w:rPr>
              <w:t>(print) 2676-727</w:t>
            </w:r>
            <w:r>
              <w:rPr>
                <w:color w:val="000000"/>
                <w:sz w:val="19"/>
                <w:lang w:val="en-GB"/>
              </w:rPr>
              <w:t>9</w:t>
            </w:r>
          </w:p>
        </w:tc>
        <w:tc>
          <w:tcPr>
            <w:tcW w:w="1701" w:type="dxa"/>
            <w:vAlign w:val="center"/>
          </w:tcPr>
          <w:p w14:paraId="5187F3CA" w14:textId="77777777" w:rsidR="00686396" w:rsidRPr="002813C8" w:rsidRDefault="00686396" w:rsidP="0089138D">
            <w:pPr>
              <w:jc w:val="center"/>
              <w:outlineLvl w:val="0"/>
              <w:rPr>
                <w:color w:val="FF0000"/>
                <w:sz w:val="19"/>
              </w:rPr>
            </w:pPr>
            <w:r w:rsidRPr="002813C8">
              <w:rPr>
                <w:rFonts w:asciiTheme="majorBidi" w:hAnsiTheme="majorBidi" w:cstheme="majorBidi"/>
                <w:noProof/>
                <w:color w:val="FF0000"/>
                <w:sz w:val="19"/>
              </w:rPr>
              <w:drawing>
                <wp:inline distT="0" distB="0" distL="0" distR="0" wp14:anchorId="1110D847" wp14:editId="4E45CD52">
                  <wp:extent cx="906653" cy="883920"/>
                  <wp:effectExtent l="0" t="0" r="8255" b="0"/>
                  <wp:docPr id="3"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7912" cy="885147"/>
                          </a:xfrm>
                          <a:prstGeom prst="rect">
                            <a:avLst/>
                          </a:prstGeom>
                        </pic:spPr>
                      </pic:pic>
                    </a:graphicData>
                  </a:graphic>
                </wp:inline>
              </w:drawing>
            </w:r>
          </w:p>
        </w:tc>
      </w:tr>
    </w:tbl>
    <w:p w14:paraId="3930CBB2" w14:textId="1EAEE158" w:rsidR="008D79F1" w:rsidRDefault="008D79F1" w:rsidP="008D79F1">
      <w:pPr>
        <w:pStyle w:val="ElsAffiliation"/>
        <w:spacing w:before="120" w:line="240" w:lineRule="auto"/>
        <w:jc w:val="center"/>
        <w:rPr>
          <w:b/>
          <w:bCs/>
          <w:i w:val="0"/>
          <w:sz w:val="30"/>
          <w:szCs w:val="30"/>
        </w:rPr>
      </w:pPr>
      <w:bookmarkStart w:id="1" w:name="_Hlk174477054"/>
      <w:bookmarkStart w:id="2" w:name="_Hlk172759471"/>
      <w:bookmarkStart w:id="3" w:name="_Hlk201693929"/>
      <w:bookmarkEnd w:id="1"/>
      <w:bookmarkEnd w:id="2"/>
      <w:r w:rsidRPr="008D79F1">
        <w:rPr>
          <w:b/>
          <w:bCs/>
          <w:i w:val="0"/>
          <w:sz w:val="30"/>
          <w:szCs w:val="30"/>
        </w:rPr>
        <w:t>Preparation, characterization, and in vitro performance evaluation of polymeric scaffolds containing sodium alginate microspheres with methotrexate for controlled drug delivery</w:t>
      </w:r>
    </w:p>
    <w:p w14:paraId="3BB38FF5" w14:textId="77777777" w:rsidR="00D041DC" w:rsidRPr="00D041DC" w:rsidRDefault="00D041DC" w:rsidP="00D041DC">
      <w:pPr>
        <w:pStyle w:val="ElsAffiliation"/>
        <w:spacing w:before="120" w:line="240" w:lineRule="auto"/>
        <w:jc w:val="center"/>
        <w:rPr>
          <w:i w:val="0"/>
          <w:sz w:val="24"/>
          <w:szCs w:val="24"/>
        </w:rPr>
      </w:pPr>
      <w:r w:rsidRPr="00D041DC">
        <w:rPr>
          <w:i w:val="0"/>
          <w:sz w:val="24"/>
          <w:szCs w:val="24"/>
        </w:rPr>
        <w:t xml:space="preserve">Baryham S Abdul Samad*, Nadia Ashoor Hussein Al-Asady </w:t>
      </w:r>
    </w:p>
    <w:p w14:paraId="72A673CE" w14:textId="77777777" w:rsidR="00D041DC" w:rsidRPr="00D041DC" w:rsidRDefault="00D041DC" w:rsidP="00D041DC">
      <w:pPr>
        <w:pStyle w:val="ElsAffiliation"/>
        <w:spacing w:before="200"/>
        <w:jc w:val="center"/>
        <w:rPr>
          <w:sz w:val="20"/>
        </w:rPr>
      </w:pPr>
      <w:r w:rsidRPr="00D041DC">
        <w:rPr>
          <w:sz w:val="20"/>
        </w:rPr>
        <w:t xml:space="preserve">Department of Chemistry, College of Education for Pure Science, University of Bsarah, Basra, </w:t>
      </w:r>
    </w:p>
    <w:p w14:paraId="76B5A2D0" w14:textId="77777777" w:rsidR="00D041DC" w:rsidRPr="00D041DC" w:rsidRDefault="00D041DC" w:rsidP="00D041DC">
      <w:pPr>
        <w:pStyle w:val="ElsAffiliation"/>
        <w:spacing w:before="200"/>
        <w:jc w:val="center"/>
        <w:rPr>
          <w:sz w:val="20"/>
        </w:rPr>
      </w:pPr>
      <w:r w:rsidRPr="00D041DC">
        <w:rPr>
          <w:sz w:val="20"/>
        </w:rPr>
        <w:t xml:space="preserve">Iraq </w:t>
      </w:r>
    </w:p>
    <w:p w14:paraId="095A629F" w14:textId="2ADA719E" w:rsidR="00063648" w:rsidRPr="002813C8" w:rsidRDefault="00D041DC" w:rsidP="00D041DC">
      <w:pPr>
        <w:pStyle w:val="ElsAffiliation"/>
        <w:spacing w:before="200"/>
        <w:jc w:val="center"/>
        <w:rPr>
          <w:sz w:val="20"/>
        </w:rPr>
      </w:pPr>
      <w:r w:rsidRPr="00D041DC">
        <w:rPr>
          <w:sz w:val="20"/>
        </w:rPr>
        <w:t>*Corresponding author: Email: baryham.saad@uobasrah.edu.iq</w:t>
      </w: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468"/>
        <w:gridCol w:w="6840"/>
      </w:tblGrid>
      <w:tr w:rsidR="00063648" w:rsidRPr="002813C8" w14:paraId="6DCFFA82" w14:textId="77777777">
        <w:trPr>
          <w:trHeight w:val="710"/>
        </w:trPr>
        <w:tc>
          <w:tcPr>
            <w:tcW w:w="3468" w:type="dxa"/>
            <w:vAlign w:val="center"/>
          </w:tcPr>
          <w:bookmarkEnd w:id="3"/>
          <w:p w14:paraId="6B8617DE" w14:textId="77777777" w:rsidR="00063648" w:rsidRPr="002813C8" w:rsidRDefault="00063648" w:rsidP="005950A5">
            <w:pPr>
              <w:pStyle w:val="ElsArticleinfoHead"/>
              <w:rPr>
                <w:noProof/>
              </w:rPr>
            </w:pPr>
            <w:r w:rsidRPr="002813C8">
              <w:rPr>
                <w:noProof/>
              </w:rPr>
              <w:t>ARTICLE INFO</w:t>
            </w:r>
          </w:p>
        </w:tc>
        <w:tc>
          <w:tcPr>
            <w:tcW w:w="6840" w:type="dxa"/>
            <w:tcMar>
              <w:left w:w="240" w:type="dxa"/>
            </w:tcMar>
            <w:vAlign w:val="center"/>
          </w:tcPr>
          <w:p w14:paraId="124EA300" w14:textId="77777777" w:rsidR="00063648" w:rsidRPr="002813C8" w:rsidRDefault="00063648" w:rsidP="005950A5">
            <w:pPr>
              <w:pStyle w:val="ElsAbstractHead"/>
            </w:pPr>
            <w:r w:rsidRPr="002813C8">
              <w:t>ABSTRACT</w:t>
            </w:r>
          </w:p>
        </w:tc>
      </w:tr>
      <w:tr w:rsidR="00063648" w:rsidRPr="002813C8" w14:paraId="0B749CF6" w14:textId="77777777">
        <w:trPr>
          <w:cantSplit/>
          <w:trHeight w:val="1051"/>
        </w:trPr>
        <w:tc>
          <w:tcPr>
            <w:tcW w:w="3468" w:type="dxa"/>
            <w:tcMar>
              <w:top w:w="72" w:type="dxa"/>
            </w:tcMar>
          </w:tcPr>
          <w:p w14:paraId="5ECA4051" w14:textId="77777777" w:rsidR="00063648" w:rsidRPr="00750085" w:rsidRDefault="00063648" w:rsidP="005950A5">
            <w:pPr>
              <w:pStyle w:val="ElsArticlehistory"/>
              <w:spacing w:line="240" w:lineRule="auto"/>
              <w:rPr>
                <w:sz w:val="18"/>
                <w:szCs w:val="18"/>
              </w:rPr>
            </w:pPr>
            <w:r w:rsidRPr="00750085">
              <w:rPr>
                <w:sz w:val="18"/>
                <w:szCs w:val="18"/>
              </w:rPr>
              <w:t>Article history:</w:t>
            </w:r>
          </w:p>
          <w:p w14:paraId="15718DEE" w14:textId="0E517AFF" w:rsidR="00063648" w:rsidRPr="002813C8" w:rsidRDefault="00063648" w:rsidP="00750085">
            <w:pPr>
              <w:pStyle w:val="ElsArticlehistory"/>
              <w:spacing w:line="240" w:lineRule="auto"/>
            </w:pPr>
          </w:p>
        </w:tc>
        <w:tc>
          <w:tcPr>
            <w:tcW w:w="6840" w:type="dxa"/>
            <w:vMerge w:val="restart"/>
            <w:tcMar>
              <w:left w:w="240" w:type="dxa"/>
            </w:tcMar>
          </w:tcPr>
          <w:p w14:paraId="405EAF37" w14:textId="1575FD08" w:rsidR="00063648" w:rsidRPr="00D12105" w:rsidRDefault="008D79F1" w:rsidP="00BD4586">
            <w:pPr>
              <w:autoSpaceDE w:val="0"/>
              <w:autoSpaceDN w:val="0"/>
              <w:adjustRightInd w:val="0"/>
              <w:spacing w:after="120" w:line="241" w:lineRule="atLeast"/>
              <w:jc w:val="both"/>
              <w:rPr>
                <w:sz w:val="20"/>
                <w:szCs w:val="20"/>
              </w:rPr>
            </w:pPr>
            <w:r w:rsidRPr="008D79F1">
              <w:rPr>
                <w:sz w:val="20"/>
                <w:szCs w:val="20"/>
              </w:rPr>
              <w:t>This study explores the development and characterization of polymeric scaffolds containing sodium alginate microspheres loaded with methotrexate for controlled drug delivery. We fabricated scaffolds using hexamethylene diisocyanate and polyelectrolyte, incorporating drug-loaded microspheres, scaffolds were thoroughly characterized using various analytical techniques, including FTIR, XRD and SEM, drug release kinetics were evaluated under physiological conditions, demonstrating sustained release profiles over 150 hours, examinations of void spaces unveiled highly permeable structures conducive to cellular penetration and nutrient circulation. Decomposition patterns were evaluated in oxidizing and enzymatic settings, demonstrating steady disintegration across multiple weeks. Our discoveries indicate that these frameworks show potential for utilization in pharmaceutical administration and biological tissue construction, providing adjustable characteristics and regulated discharge abilities</w:t>
            </w:r>
            <w:r w:rsidR="00D12105" w:rsidRPr="00D12105">
              <w:rPr>
                <w:sz w:val="20"/>
                <w:szCs w:val="20"/>
              </w:rPr>
              <w:t>.</w:t>
            </w:r>
          </w:p>
        </w:tc>
      </w:tr>
      <w:tr w:rsidR="00BD4A0C" w:rsidRPr="002813C8" w14:paraId="4F03F24D" w14:textId="77777777" w:rsidTr="00BD4A0C">
        <w:trPr>
          <w:cantSplit/>
          <w:trHeight w:val="1224"/>
        </w:trPr>
        <w:tc>
          <w:tcPr>
            <w:tcW w:w="3468" w:type="dxa"/>
            <w:tcMar>
              <w:top w:w="72" w:type="dxa"/>
              <w:left w:w="0" w:type="dxa"/>
            </w:tcMar>
            <w:vAlign w:val="center"/>
          </w:tcPr>
          <w:p w14:paraId="13B643E4" w14:textId="77777777" w:rsidR="00063648" w:rsidRPr="002813C8" w:rsidRDefault="00063648" w:rsidP="005950A5">
            <w:pPr>
              <w:pStyle w:val="ElsKeywordHead"/>
              <w:spacing w:line="240" w:lineRule="auto"/>
              <w:rPr>
                <w:sz w:val="18"/>
                <w:szCs w:val="18"/>
              </w:rPr>
            </w:pPr>
            <w:r w:rsidRPr="002813C8">
              <w:rPr>
                <w:sz w:val="18"/>
                <w:szCs w:val="18"/>
              </w:rPr>
              <w:t>Keywords:</w:t>
            </w:r>
          </w:p>
          <w:p w14:paraId="3A2339EC" w14:textId="740210F5" w:rsidR="00063648" w:rsidRPr="002813C8" w:rsidRDefault="008D79F1" w:rsidP="00147D94">
            <w:pPr>
              <w:pStyle w:val="ElsKeyword"/>
              <w:rPr>
                <w:color w:val="FF0000"/>
              </w:rPr>
            </w:pPr>
            <w:r w:rsidRPr="008D79F1">
              <w:rPr>
                <w:rFonts w:asciiTheme="majorBidi" w:hAnsiTheme="majorBidi" w:cstheme="majorBidi"/>
                <w:iCs/>
                <w:sz w:val="18"/>
                <w:szCs w:val="18"/>
              </w:rPr>
              <w:t xml:space="preserve">Polymeric scaffolds, Nanoparticles, Drug delivery systems, Controlled release, Degradation, Porosity. </w:t>
            </w:r>
          </w:p>
        </w:tc>
        <w:tc>
          <w:tcPr>
            <w:tcW w:w="6840" w:type="dxa"/>
            <w:vMerge/>
          </w:tcPr>
          <w:p w14:paraId="7471DBA3" w14:textId="77777777" w:rsidR="00063648" w:rsidRPr="002813C8" w:rsidRDefault="00063648" w:rsidP="005950A5">
            <w:pPr>
              <w:spacing w:after="80"/>
            </w:pPr>
          </w:p>
        </w:tc>
      </w:tr>
    </w:tbl>
    <w:p w14:paraId="65735800" w14:textId="77777777" w:rsidR="00063648" w:rsidRPr="002813C8" w:rsidRDefault="00063648" w:rsidP="005950A5">
      <w:pPr>
        <w:pStyle w:val="ElsCorrespondingAuthor"/>
        <w:spacing w:before="60" w:after="200" w:line="240" w:lineRule="auto"/>
        <w:rPr>
          <w:color w:val="FF0000"/>
          <w:szCs w:val="24"/>
        </w:rPr>
        <w:sectPr w:rsidR="00063648" w:rsidRPr="002813C8" w:rsidSect="002250CB">
          <w:headerReference w:type="even" r:id="rId11"/>
          <w:headerReference w:type="default" r:id="rId12"/>
          <w:footerReference w:type="even" r:id="rId13"/>
          <w:footerReference w:type="default" r:id="rId14"/>
          <w:headerReference w:type="first" r:id="rId15"/>
          <w:footerReference w:type="first" r:id="rId16"/>
          <w:pgSz w:w="11906" w:h="16838" w:code="9"/>
          <w:pgMar w:top="965" w:right="763" w:bottom="1238" w:left="763" w:header="720" w:footer="576" w:gutter="0"/>
          <w:pgNumType w:start="460"/>
          <w:cols w:space="720"/>
          <w:titlePg/>
          <w:docGrid w:linePitch="326"/>
        </w:sectPr>
      </w:pPr>
    </w:p>
    <w:p w14:paraId="28774B31" w14:textId="7713494B" w:rsidR="00861C7E" w:rsidRPr="002813C8" w:rsidRDefault="000168B4" w:rsidP="0031742D">
      <w:pPr>
        <w:pStyle w:val="Tmaintitle"/>
        <w:rPr>
          <w:rFonts w:eastAsia="Calibri"/>
        </w:rPr>
      </w:pPr>
      <w:bookmarkStart w:id="4" w:name="InstructionText"/>
      <w:r w:rsidRPr="002813C8">
        <w:t xml:space="preserve">1. </w:t>
      </w:r>
      <w:r w:rsidRPr="00BD4586">
        <w:rPr>
          <w:rFonts w:eastAsia="Calibri"/>
        </w:rPr>
        <w:t>Introduction</w:t>
      </w:r>
    </w:p>
    <w:p w14:paraId="227E3696" w14:textId="57BBCEC7" w:rsidR="008D79F1" w:rsidRPr="008D79F1" w:rsidRDefault="008D79F1" w:rsidP="008D79F1">
      <w:pPr>
        <w:pStyle w:val="ListParagraph"/>
        <w:spacing w:line="276" w:lineRule="auto"/>
        <w:ind w:left="0"/>
        <w:contextualSpacing w:val="0"/>
        <w:jc w:val="lowKashida"/>
        <w:rPr>
          <w:rFonts w:eastAsia="Times New Roman"/>
          <w:sz w:val="22"/>
          <w:lang w:bidi="ar-IQ"/>
        </w:rPr>
      </w:pPr>
      <w:bookmarkStart w:id="5" w:name="_Hlk167430876"/>
      <w:r w:rsidRPr="008D79F1">
        <w:rPr>
          <w:rFonts w:eastAsia="Times New Roman"/>
          <w:sz w:val="22"/>
          <w:lang w:bidi="ar-IQ"/>
        </w:rPr>
        <w:t xml:space="preserve">Advanced medication administration systems have emerged as innovative strategies to boost therapeutic effectiveness and reduce unwanted side effects linked to traditional drug delivery methods </w:t>
      </w:r>
      <w:r w:rsidRPr="008D79F1">
        <w:rPr>
          <w:rFonts w:eastAsia="Times New Roman"/>
          <w:sz w:val="22"/>
          <w:lang w:bidi="ar-IQ"/>
        </w:rPr>
        <w:fldChar w:fldCharType="begin">
          <w:fldData xml:space="preserve">PEVuZE5vdGU+PENpdGU+PEF1dGhvcj5BZGVwdTwvQXV0aG9yPjxZZWFyPjIwMjE8L1llYXI+PFJl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</w:fldData>
        </w:fldChar>
      </w:r>
      <w:r w:rsidRPr="008D79F1">
        <w:rPr>
          <w:rFonts w:eastAsia="Times New Roman"/>
          <w:sz w:val="22"/>
          <w:lang w:bidi="ar-IQ"/>
        </w:rPr>
        <w:instrText xml:space="preserve"> ADDIN EN.CITE </w:instrText>
      </w:r>
      <w:r w:rsidRPr="008D79F1">
        <w:rPr>
          <w:rFonts w:eastAsia="Times New Roman"/>
          <w:sz w:val="22"/>
          <w:lang w:bidi="ar-IQ"/>
        </w:rPr>
        <w:fldChar w:fldCharType="begin">
          <w:fldData xml:space="preserve">PEVuZE5vdGU+PENpdGU+PEF1dGhvcj5BZGVwdTwvQXV0aG9yPjxZZWFyPjIwMjE8L1llYXI+PFJl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</w:fldData>
        </w:fldChar>
      </w:r>
      <w:r w:rsidRPr="008D79F1">
        <w:rPr>
          <w:rFonts w:eastAsia="Times New Roman"/>
          <w:sz w:val="22"/>
          <w:lang w:bidi="ar-IQ"/>
        </w:rPr>
        <w:instrText xml:space="preserve"> ADDIN EN.CITE.DATA </w:instrText>
      </w:r>
      <w:r w:rsidRPr="008D79F1">
        <w:rPr>
          <w:rFonts w:eastAsia="Times New Roman"/>
          <w:sz w:val="22"/>
          <w:lang w:bidi="ar-IQ"/>
        </w:rPr>
      </w:r>
      <w:r w:rsidRPr="008D79F1">
        <w:rPr>
          <w:rFonts w:eastAsia="Times New Roman"/>
          <w:sz w:val="22"/>
          <w:lang w:bidi="ar-IQ"/>
        </w:rPr>
        <w:fldChar w:fldCharType="end"/>
      </w:r>
      <w:r w:rsidRPr="008D79F1">
        <w:rPr>
          <w:rFonts w:eastAsia="Times New Roman"/>
          <w:sz w:val="22"/>
          <w:lang w:bidi="ar-IQ"/>
        </w:rPr>
      </w:r>
      <w:r w:rsidRPr="008D79F1">
        <w:rPr>
          <w:rFonts w:eastAsia="Times New Roman"/>
          <w:sz w:val="22"/>
          <w:lang w:bidi="ar-IQ"/>
        </w:rPr>
        <w:fldChar w:fldCharType="separate"/>
      </w:r>
      <w:r w:rsidRPr="008D79F1">
        <w:rPr>
          <w:rFonts w:eastAsia="Times New Roman"/>
          <w:sz w:val="22"/>
          <w:lang w:bidi="ar-IQ"/>
        </w:rPr>
        <w:t>[</w:t>
      </w:r>
      <w:hyperlink w:anchor="a1" w:history="1">
        <w:r w:rsidRPr="008D79F1">
          <w:rPr>
            <w:rFonts w:eastAsia="Times New Roman"/>
            <w:sz w:val="22"/>
            <w:lang w:bidi="ar-IQ"/>
          </w:rPr>
          <w:t>1</w:t>
        </w:r>
      </w:hyperlink>
      <w:r w:rsidRPr="008D79F1">
        <w:rPr>
          <w:rFonts w:eastAsia="Times New Roman"/>
          <w:sz w:val="22"/>
          <w:lang w:bidi="ar-IQ"/>
        </w:rPr>
        <w:t>,</w:t>
      </w:r>
      <w:hyperlink w:anchor="a3" w:history="1">
        <w:r w:rsidRPr="008D79F1">
          <w:rPr>
            <w:rFonts w:eastAsia="Times New Roman"/>
            <w:sz w:val="22"/>
            <w:lang w:bidi="ar-IQ"/>
          </w:rPr>
          <w:t>3</w:t>
        </w:r>
      </w:hyperlink>
      <w:r w:rsidRPr="008D79F1">
        <w:rPr>
          <w:rFonts w:eastAsia="Times New Roman"/>
          <w:sz w:val="22"/>
          <w:lang w:bidi="ar-IQ"/>
        </w:rPr>
        <w:t>]</w:t>
      </w:r>
      <w:r w:rsidRPr="008D79F1">
        <w:rPr>
          <w:rFonts w:eastAsia="Times New Roman"/>
          <w:sz w:val="22"/>
          <w:lang w:bidi="ar-IQ"/>
        </w:rPr>
        <w:fldChar w:fldCharType="end"/>
      </w:r>
      <w:bookmarkEnd w:id="5"/>
      <w:r w:rsidRPr="008D79F1">
        <w:rPr>
          <w:rFonts w:eastAsia="Times New Roman"/>
          <w:sz w:val="22"/>
          <w:lang w:bidi="ar-IQ"/>
        </w:rPr>
        <w:t xml:space="preserve">, These approaches aim to administer medicinal compounds at the optimal rate and timeframe, while sustaining ideal drug levels at the intended location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&lt;EndNote&gt;&lt;Cite&gt;&lt;Author&gt;Puccetti&lt;/Author&gt;&lt;Year&gt;2024&lt;/Year&gt;&lt;RecNum&gt;4&lt;/RecNum&gt;&lt;DisplayText&gt;[4, 5]&lt;/DisplayText&gt;&lt;record&gt;&lt;rec-number&gt;4&lt;/rec-number&gt;&lt;foreign-keys&gt;&lt;key app="EN" db-id="t200ppxxsra02qe955kpd02s9wv90szs0wwx" timestamp="1716009336"&gt;4&lt;/key&gt;&lt;/foreign-keys&gt;&lt;ref-type name="Journal Article"&gt;17&lt;/ref-type&gt;&lt;contributors&gt;&lt;authors&gt;&lt;author&gt;Puccetti, Matteo&lt;/author&gt;&lt;author&gt;Pariano, Marilena&lt;/author&gt;&lt;author&gt;Schoubben, Aurélie&lt;/author&gt;&lt;author&gt;Giovagnoli, Stefano&lt;/author&gt;&lt;author&gt;Ricci, Maurizio&lt;/author&gt;&lt;/authors&gt;&lt;/contributors&gt;&lt;titles&gt;&lt;title&gt;Biologics, Theranostics, and Personalized Medicine in Drug Delivery Systems&lt;/title&gt;&lt;secondary-title&gt;Pharmacological Research&lt;/secondary-title&gt;&lt;/titles&gt;&lt;periodical&gt;&lt;full-title&gt;Pharmacological Research&lt;/full-title&gt;&lt;/periodical&gt;&lt;pages&gt;107086&lt;/pages&gt;&lt;dates&gt;&lt;year&gt;2024&lt;/year&gt;&lt;/dates&gt;&lt;isbn&gt;1043-6618&lt;/isbn&gt;&lt;urls&gt;&lt;/urls&gt;&lt;/record&gt;&lt;/Cite&gt;&lt;Cite&gt;&lt;Author&gt;Liu&lt;/Author&gt;&lt;Year&gt;2024&lt;/Year&gt;&lt;RecNum&gt;6&lt;/RecNum&gt;&lt;record&gt;&lt;rec-number&gt;6&lt;/rec-number&gt;&lt;foreign-keys&gt;&lt;key app="EN" db-id="t200ppxxsra02qe955kpd02s9wv90szs0wwx" timestamp="1716009486"&gt;6&lt;/key&gt;&lt;/foreign-keys&gt;&lt;ref-type name="Journal Article"&gt;17&lt;/ref-type&gt;&lt;contributors&gt;&lt;authors&gt;&lt;author&gt;Liu, Yubo&lt;/author&gt;&lt;author&gt;Chen, Xiaohong&lt;/author&gt;&lt;author&gt;Lin, Xiangde&lt;/author&gt;&lt;author&gt;Yan, Jiayong&lt;/author&gt;&lt;author&gt;Yu, Deng‐Guang&lt;/author&gt;&lt;author&gt;Liu, Ping&lt;/author&gt;&lt;author&gt;Yang, Hui&lt;/author&gt;&lt;/authors&gt;&lt;/contributors&gt;&lt;titles&gt;&lt;title&gt;Electrospun multi‐chamber core–shell nanofibers and their controlled release behaviors: A review&lt;/title&gt;&lt;secondary-title&gt;Wiley Interdisciplinary Reviews: Nanomedicine and Nanobiotechnology&lt;/secondary-title&gt;&lt;/titles&gt;&lt;periodical&gt;&lt;full-title&gt;Wiley Interdisciplinary Reviews: Nanomedicine and Nanobiotechnology&lt;/full-title&gt;&lt;/periodical&gt;&lt;pages&gt;e1954&lt;/pages&gt;&lt;volume&gt;16&lt;/volume&gt;&lt;number&gt;2&lt;/number&gt;&lt;dates&gt;&lt;year&gt;2024&lt;/year&gt;&lt;/dates&gt;&lt;isbn&gt;1939-5116&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4" w:history="1">
        <w:r w:rsidRPr="008D79F1">
          <w:rPr>
            <w:rFonts w:eastAsia="Times New Roman"/>
            <w:sz w:val="22"/>
            <w:lang w:bidi="ar-IQ"/>
          </w:rPr>
          <w:t>4</w:t>
        </w:r>
      </w:hyperlink>
      <w:r w:rsidRPr="008D79F1">
        <w:rPr>
          <w:rFonts w:eastAsia="Times New Roman"/>
          <w:sz w:val="22"/>
          <w:lang w:bidi="ar-IQ"/>
        </w:rPr>
        <w:t>,</w:t>
      </w:r>
      <w:hyperlink w:anchor="a5" w:history="1">
        <w:r w:rsidRPr="008D79F1">
          <w:rPr>
            <w:rFonts w:eastAsia="Times New Roman"/>
            <w:sz w:val="22"/>
            <w:lang w:bidi="ar-IQ"/>
          </w:rPr>
          <w:t>5</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Among various regulated drug delivery platforms, polymer-based frameworks have attracted considerable interest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&lt;EndNote&gt;&lt;Cite&gt;&lt;Author&gt;Calori&lt;/Author&gt;&lt;Year&gt;2020&lt;/Year&gt;&lt;RecNum&gt;9&lt;/RecNum&gt;&lt;DisplayText&gt;[6, 7]&lt;/DisplayText&gt;&lt;record&gt;&lt;rec-number&gt;9&lt;/rec-number&gt;&lt;foreign-keys&gt;&lt;key app="EN" db-id="t200ppxxsra02qe955kpd02s9wv90szs0wwx" timestamp="1716010248"&gt;9&lt;/key&gt;&lt;/foreign-keys&gt;&lt;ref-type name="Journal Article"&gt;17&lt;/ref-type&gt;&lt;contributors&gt;&lt;authors&gt;&lt;author&gt;Calori, Italo Rodrigo&lt;/author&gt;&lt;author&gt;Braga, Gustavo&lt;/author&gt;&lt;author&gt;de Jesus, Priscila da Costa Carvalho&lt;/author&gt;&lt;author&gt;Bi, Hong&lt;/author&gt;&lt;author&gt;Tedesco, Antonio Claudio&lt;/author&gt;&lt;/authors&gt;&lt;/contributors&gt;&lt;titles&gt;&lt;title&gt;Polymer scaffolds as drug delivery systems&lt;/title&gt;&lt;secondary-title&gt;European Polymer Journal&lt;/secondary-title&gt;&lt;/titles&gt;&lt;periodical&gt;&lt;full-title&gt;European Polymer Journal&lt;/full-title&gt;&lt;/periodical&gt;&lt;pages&gt;109621&lt;/pages&gt;&lt;volume&gt;129&lt;/volume&gt;&lt;dates&gt;&lt;year&gt;2020&lt;/year&gt;&lt;/dates&gt;&lt;isbn&gt;0014-3057&lt;/isbn&gt;&lt;urls&gt;&lt;/urls&gt;&lt;/record&gt;&lt;/Cite&gt;&lt;Cite&gt;&lt;Author&gt;Echeverria Molina&lt;/Author&gt;&lt;Year&gt;2021&lt;/Year&gt;&lt;RecNum&gt;10&lt;/RecNum&gt;&lt;record&gt;&lt;rec-number&gt;10&lt;/rec-number&gt;&lt;foreign-keys&gt;&lt;key app="EN" db-id="t200ppxxsra02qe955kpd02s9wv90szs0wwx" timestamp="1716010298"&gt;10&lt;/key&gt;&lt;/foreign-keys&gt;&lt;ref-type name="Journal Article"&gt;17&lt;/ref-type&gt;&lt;contributors&gt;&lt;authors&gt;&lt;author&gt;Echeverria Molina, Maria I&lt;/author&gt;&lt;author&gt;Malollari, Katerina G&lt;/author&gt;&lt;author&gt;Komvopoulos, Kyriakos&lt;/author&gt;&lt;/authors&gt;&lt;/contributors&gt;&lt;titles&gt;&lt;title&gt;Design challenges in polymeric scaffolds for tissue engineering&lt;/title&gt;&lt;secondary-title&gt;Frontiers in Bioengineering and Biotechnology&lt;/secondary-title&gt;&lt;/titles&gt;&lt;periodical&gt;&lt;full-title&gt;Frontiers in Bioengineering and Biotechnology&lt;/full-title&gt;&lt;/periodical&gt;&lt;pages&gt;617141&lt;/pages&gt;&lt;volume&gt;9&lt;/volume&gt;&lt;dates&gt;&lt;year&gt;2021&lt;/year&gt;&lt;/dates&gt;&lt;isbn&gt;2296-4185&lt;/isbn&gt;&lt;urls&gt;&lt;/urls&gt;&lt;/record&gt;&lt;/Cite&gt;&lt;/EndNote&gt;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6" w:history="1">
        <w:r w:rsidRPr="008D79F1">
          <w:rPr>
            <w:rFonts w:eastAsia="Times New Roman"/>
            <w:sz w:val="22"/>
            <w:lang w:bidi="ar-IQ"/>
          </w:rPr>
          <w:t>6</w:t>
        </w:r>
      </w:hyperlink>
      <w:r w:rsidRPr="008D79F1">
        <w:rPr>
          <w:rFonts w:eastAsia="Times New Roman"/>
          <w:sz w:val="22"/>
          <w:lang w:bidi="ar-IQ"/>
        </w:rPr>
        <w:t>,</w:t>
      </w:r>
      <w:bookmarkStart w:id="6" w:name="_Hlk167432263"/>
      <w:r w:rsidRPr="008D79F1">
        <w:rPr>
          <w:rFonts w:eastAsia="Times New Roman"/>
          <w:sz w:val="22"/>
          <w:lang w:bidi="ar-IQ"/>
        </w:rPr>
        <w:fldChar w:fldCharType="begin"/>
      </w:r>
      <w:r w:rsidRPr="008D79F1">
        <w:rPr>
          <w:rFonts w:eastAsia="Times New Roman"/>
          <w:sz w:val="22"/>
          <w:lang w:bidi="ar-IQ"/>
        </w:rPr>
        <w:instrText xml:space="preserve"> HYPERLINK  \l "a7" </w:instrText>
      </w:r>
      <w:r w:rsidRPr="008D79F1">
        <w:rPr>
          <w:rFonts w:eastAsia="Times New Roman"/>
          <w:sz w:val="22"/>
          <w:lang w:bidi="ar-IQ"/>
        </w:rPr>
        <w:fldChar w:fldCharType="separate"/>
      </w:r>
      <w:r w:rsidRPr="008D79F1">
        <w:rPr>
          <w:rFonts w:eastAsia="Times New Roman"/>
          <w:sz w:val="22"/>
          <w:lang w:bidi="ar-IQ"/>
        </w:rPr>
        <w:t>7</w:t>
      </w:r>
      <w:bookmarkEnd w:id="6"/>
      <w:r w:rsidRPr="008D79F1">
        <w:rPr>
          <w:rFonts w:eastAsia="Times New Roman"/>
          <w:sz w:val="22"/>
          <w:lang w:bidi="ar-IQ"/>
        </w:rPr>
        <w:fldChar w:fldCharType="end"/>
      </w:r>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due to their adaptability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&lt;EndNote&gt;&lt;Cite&gt;&lt;Author&gt;Al Mahmud&lt;/Author&gt;&lt;Year&gt;2023&lt;/Year&gt;&lt;RecNum&gt;11&lt;/RecNum&gt;&lt;DisplayText&gt;[8]&lt;/DisplayText&gt;&lt;record&gt;&lt;rec-number&gt;11&lt;/rec-number&gt;&lt;foreign-keys&gt;&lt;key app="EN" db-id="t200ppxxsra02qe955kpd02s9wv90szs0wwx" timestamp="1716010651"&gt;11&lt;/key&gt;&lt;/foreign-keys&gt;&lt;ref-type name="Journal Article"&gt;17&lt;/ref-type&gt;&lt;contributors&gt;&lt;authors&gt;&lt;author&gt;Al Mahmud, Md Zobair&lt;/author&gt;&lt;/authors&gt;&lt;/contributors&gt;&lt;titles&gt;&lt;title&gt;Exploring the versatile applications of biocomposites in the medical field&lt;/title&gt;&lt;secondary-title&gt;Bioprinting&lt;/secondary-title&gt;&lt;/titles&gt;&lt;periodical&gt;&lt;full-title&gt;Bioprinting&lt;/full-title&gt;&lt;/periodical&gt;&lt;pages&gt;e00319&lt;/pages&gt;&lt;volume&gt;36&lt;/volume&gt;&lt;dates&gt;&lt;year&gt;2023&lt;/year&gt;&lt;/dates&gt;&lt;isbn&gt;2405-8866&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8" w:history="1">
        <w:r w:rsidRPr="008D79F1">
          <w:rPr>
            <w:rFonts w:eastAsia="Times New Roman"/>
            <w:sz w:val="22"/>
            <w:lang w:bidi="ar-IQ"/>
          </w:rPr>
          <w:t>8</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biocompatibility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&lt;EndNote&gt;&lt;Cite&gt;&lt;Author&gt;Hasanzadeh&lt;/Author&gt;&lt;Year&gt;2023&lt;/Year&gt;&lt;RecNum&gt;12&lt;/RecNum&gt;&lt;DisplayText&gt;[9, 10]&lt;/DisplayText&gt;&lt;record&gt;&lt;rec-number&gt;12&lt;/rec-number&gt;&lt;foreign-keys&gt;&lt;key app="EN" db-id="t200ppxxsra02qe955kpd02s9wv90szs0wwx" timestamp="1716010717"&gt;12&lt;/key&gt;&lt;/foreign-keys&gt;&lt;ref-type name="Journal Article"&gt;17&lt;/ref-type&gt;&lt;contributors&gt;&lt;authors&gt;&lt;author&gt;Hasanzadeh, Rezgar&lt;/author&gt;&lt;author&gt;Mihankhah, Peyman&lt;/author&gt;&lt;author&gt;Azdast, Taher&lt;/author&gt;&lt;author&gt;Rasouli, Asghar&lt;/author&gt;&lt;author&gt;Shamkhali, Mohadese&lt;/author&gt;&lt;author&gt;Park, Chul B&lt;/author&gt;&lt;/authors&gt;&lt;/contributors&gt;&lt;titles&gt;&lt;title&gt;Biocompatible tissue-engineered scaffold polymers for 3D printing and its application for 4D printing&lt;/title&gt;&lt;secondary-title&gt;Chemical Engineering Journal&lt;/secondary-title&gt;&lt;/titles&gt;&lt;periodical&gt;&lt;full-title&gt;Chemical Engineering Journal&lt;/full-title&gt;&lt;/periodical&gt;&lt;pages&gt;146616&lt;/pages&gt;&lt;dates&gt;&lt;year&gt;2023&lt;/year&gt;&lt;/dates&gt;&lt;isbn&gt;1385-8947&lt;/isbn&gt;&lt;urls&gt;&lt;/urls&gt;&lt;/record&gt;&lt;/Cite&gt;&lt;Cite&gt;&lt;Author&gt;Xu&lt;/Author&gt;&lt;Year&gt;2023&lt;/Year&gt;&lt;RecNum&gt;13&lt;/RecNum&gt;&lt;record&gt;&lt;rec-number&gt;13&lt;/rec-number&gt;&lt;foreign-keys&gt;&lt;key app="EN" db-id="t200ppxxsra02qe955kpd02s9wv90szs0wwx" timestamp="1716010754"&gt;13&lt;/key&gt;&lt;/foreign-keys&gt;&lt;ref-type name="Journal Article"&gt;17&lt;/ref-type&gt;&lt;contributors&gt;&lt;authors&gt;&lt;author&gt;Xu, Ruojiao&lt;/author&gt;&lt;author&gt;Fang, Yifeng&lt;/author&gt;&lt;author&gt;Zhang, Zhao&lt;/author&gt;&lt;author&gt;Cao, Yajie&lt;/author&gt;&lt;author&gt;Yan, Yujia&lt;/author&gt;&lt;author&gt;Gan, Li&lt;/author&gt;&lt;author&gt;Xu, Jinbao&lt;/author&gt;&lt;author&gt;Zhou, Guoying&lt;/author&gt;&lt;/authors&gt;&lt;/contributors&gt;&lt;titles&gt;&lt;title&gt;Recent advances in biodegradable and biocompatible synthetic polymers used in skin wound healing&lt;/title&gt;&lt;secondary-title&gt;Materials&lt;/secondary-title&gt;&lt;/titles&gt;&lt;periodical&gt;&lt;full-title&gt;Materials&lt;/full-title&gt;&lt;/periodical&gt;&lt;pages&gt;5459&lt;/pages&gt;&lt;volume&gt;16&lt;/volume&gt;&lt;number&gt;15&lt;/number&gt;&lt;dates&gt;&lt;year&gt;2023&lt;/year&gt;&lt;/dates&gt;&lt;isbn&gt;1996-1944&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9" w:history="1">
        <w:r w:rsidRPr="008D79F1">
          <w:rPr>
            <w:rFonts w:eastAsia="Times New Roman"/>
            <w:sz w:val="22"/>
            <w:lang w:bidi="ar-IQ"/>
          </w:rPr>
          <w:t>9</w:t>
        </w:r>
      </w:hyperlink>
      <w:r w:rsidRPr="008D79F1">
        <w:rPr>
          <w:rFonts w:eastAsia="Times New Roman"/>
          <w:sz w:val="22"/>
          <w:lang w:bidi="ar-IQ"/>
        </w:rPr>
        <w:t>,</w:t>
      </w:r>
      <w:hyperlink w:anchor="a10" w:history="1">
        <w:r w:rsidRPr="008D79F1">
          <w:rPr>
            <w:rFonts w:eastAsia="Times New Roman"/>
            <w:sz w:val="22"/>
            <w:lang w:bidi="ar-IQ"/>
          </w:rPr>
          <w:t>10</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and potential for localized and sustained drug release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&lt;EndNote&gt;&lt;Cite&gt;&lt;Author&gt;An&lt;/Author&gt;&lt;Year&gt;2024&lt;/Year&gt;&lt;RecNum&gt;14&lt;/RecNum&gt;&lt;DisplayText&gt;[11, 12]&lt;/DisplayText&gt;&lt;record&gt;&lt;rec-number&gt;14&lt;/rec-number&gt;&lt;foreign-keys&gt;&lt;key app="EN" db-id="t200ppxxsra02qe955kpd02s9wv90szs0wwx" timestamp="1716010840"&gt;14&lt;/key&gt;&lt;/foreign-keys&gt;&lt;ref-type name="Journal Article"&gt;17&lt;/ref-type&gt;&lt;contributors&gt;&lt;authors&gt;&lt;author&gt;An, Xiaoran&lt;/author&gt;&lt;author&gt;Yang, Jiapei&lt;/author&gt;&lt;author&gt;Cui, Xiaolin&lt;/author&gt;&lt;author&gt;Zhao, Jiaxuan&lt;/author&gt;&lt;author&gt;Jiang, Chenwei&lt;/author&gt;&lt;author&gt;Tang, Minglu&lt;/author&gt;&lt;author&gt;Dong, Yabing&lt;/author&gt;&lt;author&gt;Lin, Longfei&lt;/author&gt;&lt;author&gt;Li, Hui&lt;/author&gt;&lt;author&gt;Wang, Feihu&lt;/author&gt;&lt;/authors&gt;&lt;/contributors&gt;&lt;titles&gt;&lt;title&gt;Advances in local drug delivery technologies for improved rheumatoid arthritis therapy&lt;/title&gt;&lt;secondary-title&gt;Advanced Drug Delivery Reviews&lt;/secondary-title&gt;&lt;/titles&gt;&lt;periodical&gt;&lt;full-title&gt;Advanced Drug Delivery Reviews&lt;/full-title&gt;&lt;/periodical&gt;&lt;pages&gt;115325&lt;/pages&gt;&lt;dates&gt;&lt;year&gt;2024&lt;/year&gt;&lt;/dates&gt;&lt;isbn&gt;0169-409X&lt;/isbn&gt;&lt;urls&gt;&lt;/urls&gt;&lt;/record&gt;&lt;/Cite&gt;&lt;Cite&gt;&lt;Author&gt;Volokhova&lt;/Author&gt;&lt;Year&gt;2022&lt;/Year&gt;&lt;RecNum&gt;15&lt;/RecNum&gt;&lt;record&gt;&lt;rec-number&gt;15&lt;/rec-number&gt;&lt;foreign-keys&gt;&lt;key app="EN" db-id="t200ppxxsra02qe955kpd02s9wv90szs0wwx" timestamp="1716010912"&gt;15&lt;/key&gt;&lt;/foreign-keys&gt;&lt;ref-type name="Journal Article"&gt;17&lt;/ref-type&gt;&lt;contributors&gt;&lt;authors&gt;&lt;author&gt;Volokhova, Apollinariya A&lt;/author&gt;&lt;author&gt;Fedorishin, Dmitry A&lt;/author&gt;&lt;author&gt;Khvastunova, Arina O&lt;/author&gt;&lt;author&gt;Spiridonova, Tatiana I&lt;/author&gt;&lt;author&gt;Kozelskaya, Anna I&lt;/author&gt;&lt;author&gt;Kzhyshkowska, Julia&lt;/author&gt;&lt;author&gt;Tverdokhlebov, Sergei I&lt;/author&gt;&lt;author&gt;Kurzina, Irina&lt;/author&gt;&lt;/authors&gt;&lt;/contributors&gt;&lt;titles&gt;&lt;title&gt;Reactive magnetron plasma modification of electrospun PLLA scaffolds with incorporated chloramphenicol for controlled drug release&lt;/title&gt;&lt;secondary-title&gt;Polymers&lt;/secondary-title&gt;&lt;/titles&gt;&lt;periodical&gt;&lt;full-title&gt;Polymers&lt;/full-title&gt;&lt;/periodical&gt;&lt;pages&gt;373&lt;/pages&gt;&lt;volume&gt;14&lt;/volume&gt;&lt;number&gt;3&lt;/number&gt;&lt;dates&gt;&lt;year&gt;2022&lt;/year&gt;&lt;/dates&gt;&lt;isbn&gt;2073-4360&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11" w:history="1">
        <w:r w:rsidRPr="008D79F1">
          <w:rPr>
            <w:rFonts w:eastAsia="Times New Roman"/>
            <w:sz w:val="22"/>
            <w:lang w:bidi="ar-IQ"/>
          </w:rPr>
          <w:t>11</w:t>
        </w:r>
      </w:hyperlink>
      <w:r w:rsidRPr="008D79F1">
        <w:rPr>
          <w:rFonts w:eastAsia="Times New Roman"/>
          <w:sz w:val="22"/>
          <w:lang w:bidi="ar-IQ"/>
        </w:rPr>
        <w:t>,</w:t>
      </w:r>
      <w:hyperlink w:anchor="a12" w:history="1">
        <w:r w:rsidRPr="008D79F1">
          <w:rPr>
            <w:rFonts w:eastAsia="Times New Roman"/>
            <w:sz w:val="22"/>
            <w:lang w:bidi="ar-IQ"/>
          </w:rPr>
          <w:t>12</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rtl/>
          <w:lang w:bidi="ar-IQ"/>
        </w:rPr>
        <w:t>.</w:t>
      </w:r>
      <w:r w:rsidRPr="008D79F1">
        <w:rPr>
          <w:rFonts w:eastAsia="Times New Roman"/>
          <w:sz w:val="22"/>
          <w:lang w:bidi="ar-IQ"/>
        </w:rPr>
        <w:t xml:space="preserve"> Polymeric scaffolds are three-dimensional, porous structures fabricated from biocompatible and biodegradable polymers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&lt;EndNote&gt;&lt;Cite&gt;&lt;Author&gt;Mabrouk&lt;/Author&gt;&lt;Year&gt;2020&lt;/Year&gt;&lt;RecNum&gt;16&lt;/RecNum&gt;&lt;DisplayText&gt;[13, 14]&lt;/DisplayText&gt;&lt;record&gt;&lt;rec-number&gt;16&lt;/rec-number&gt;&lt;foreign-keys&gt;&lt;key app="EN" db-id="t200ppxxsra02qe955kpd02s9wv90szs0wwx" timestamp="1716011023"&gt;16&lt;/key&gt;&lt;/foreign-keys&gt;&lt;ref-type name="Journal Article"&gt;17&lt;/ref-type&gt;&lt;contributors&gt;&lt;authors&gt;&lt;author&gt;Mabrouk, Mostafa&lt;/author&gt;&lt;author&gt;Beherei, Hanan H&lt;/author&gt;&lt;author&gt;Das, Diganta B&lt;/author&gt;&lt;/authors&gt;&lt;/contributors&gt;&lt;titles&gt;&lt;title&gt;Recent progress in the fabrication techniques of 3D scaffolds for tissue engineering&lt;/title&gt;&lt;secondary-title&gt;Materials Science and Engineering: C&lt;/secondary-title&gt;&lt;/titles&gt;&lt;periodical&gt;&lt;full-title&gt;Materials Science and Engineering: C&lt;/full-title&gt;&lt;/periodical&gt;&lt;pages&gt;110716&lt;/pages&gt;&lt;volume&gt;110&lt;/volume&gt;&lt;dates&gt;&lt;year&gt;2020&lt;/year&gt;&lt;/dates&gt;&lt;isbn&gt;0928-4931&lt;/isbn&gt;&lt;urls&gt;&lt;/urls&gt;&lt;/record&gt;&lt;/Cite&gt;&lt;Cite&gt;&lt;Author&gt;Badekila&lt;/Author&gt;&lt;Year&gt;2021&lt;/Year&gt;&lt;RecNum&gt;17&lt;/RecNum&gt;&lt;record&gt;&lt;rec-number&gt;17&lt;/rec-number&gt;&lt;foreign-keys&gt;&lt;key app="EN" db-id="t200ppxxsra02qe955kpd02s9wv90szs0wwx" timestamp="1716011062"&gt;17&lt;/key&gt;&lt;/foreign-keys&gt;&lt;ref-type name="Journal Article"&gt;17&lt;/ref-type&gt;&lt;contributors&gt;&lt;authors&gt;&lt;author&gt;Badekila, Anjana K&lt;/author&gt;&lt;author&gt;Kini, Sudarshan&lt;/author&gt;&lt;author&gt;Jaiswal, Amit K&lt;/author&gt;&lt;/authors&gt;&lt;/contributors&gt;&lt;titles&gt;&lt;title&gt;Fabrication techniques of biomimetic scaffolds in three‐dimensional cell culture: A review&lt;/title&gt;&lt;secondary-title&gt;Journal of cellular physiology&lt;/secondary-title&gt;&lt;/titles&gt;&lt;periodical&gt;&lt;full-title&gt;Journal of cellular physiology&lt;/full-title&gt;&lt;/periodical&gt;&lt;pages&gt;741-762&lt;/pages&gt;&lt;volume&gt;236&lt;/volume&gt;&lt;number&gt;2&lt;/number&gt;&lt;dates&gt;&lt;year&gt;2021&lt;/year&gt;&lt;/dates&gt;&lt;isbn&gt;0021-9541&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13" w:history="1">
        <w:r w:rsidRPr="008D79F1">
          <w:rPr>
            <w:rFonts w:eastAsia="Times New Roman"/>
            <w:sz w:val="22"/>
            <w:lang w:bidi="ar-IQ"/>
          </w:rPr>
          <w:t>13</w:t>
        </w:r>
      </w:hyperlink>
      <w:r w:rsidRPr="008D79F1">
        <w:rPr>
          <w:rFonts w:eastAsia="Times New Roman"/>
          <w:sz w:val="22"/>
          <w:lang w:bidi="ar-IQ"/>
        </w:rPr>
        <w:t>,</w:t>
      </w:r>
      <w:hyperlink w:anchor="a14" w:history="1">
        <w:r w:rsidRPr="008D79F1">
          <w:rPr>
            <w:rFonts w:eastAsia="Times New Roman"/>
            <w:sz w:val="22"/>
            <w:lang w:bidi="ar-IQ"/>
          </w:rPr>
          <w:t>14</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these scaffolds serve as matrices for incorporating drug-loaded nanoparticles or microparticles, facilitating controlled and localized drug delivery </w:t>
      </w:r>
      <w:r w:rsidRPr="008D79F1">
        <w:rPr>
          <w:rFonts w:eastAsia="Times New Roman"/>
          <w:sz w:val="22"/>
          <w:lang w:bidi="ar-IQ"/>
        </w:rPr>
        <w:fldChar w:fldCharType="begin">
          <w:fldData xml:space="preserve">PEVuZE5vdGU+PENpdGU+PEF1dGhvcj5Db2x1Y2NpPC9BdXRob3I+PFllYXI+MjAyMTwvWWVhcj48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</w:fldData>
        </w:fldChar>
      </w:r>
      <w:r w:rsidRPr="008D79F1">
        <w:rPr>
          <w:rFonts w:eastAsia="Times New Roman"/>
          <w:sz w:val="22"/>
          <w:lang w:bidi="ar-IQ"/>
        </w:rPr>
        <w:instrText xml:space="preserve"> ADDIN EN.CITE </w:instrText>
      </w:r>
      <w:r w:rsidRPr="008D79F1">
        <w:rPr>
          <w:rFonts w:eastAsia="Times New Roman"/>
          <w:sz w:val="22"/>
          <w:lang w:bidi="ar-IQ"/>
        </w:rPr>
        <w:fldChar w:fldCharType="begin">
          <w:fldData xml:space="preserve">PEVuZE5vdGU+PENpdGU+PEF1dGhvcj5Db2x1Y2NpPC9BdXRob3I+PFllYXI+MjAyMTwvWWVhcj48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</w:fldData>
        </w:fldChar>
      </w:r>
      <w:r w:rsidRPr="008D79F1">
        <w:rPr>
          <w:rFonts w:eastAsia="Times New Roman"/>
          <w:sz w:val="22"/>
          <w:lang w:bidi="ar-IQ"/>
        </w:rPr>
        <w:instrText xml:space="preserve"> ADDIN EN.CITE.DATA </w:instrText>
      </w:r>
      <w:r w:rsidRPr="008D79F1">
        <w:rPr>
          <w:rFonts w:eastAsia="Times New Roman"/>
          <w:sz w:val="22"/>
          <w:lang w:bidi="ar-IQ"/>
        </w:rPr>
      </w:r>
      <w:r w:rsidRPr="008D79F1">
        <w:rPr>
          <w:rFonts w:eastAsia="Times New Roman"/>
          <w:sz w:val="22"/>
          <w:lang w:bidi="ar-IQ"/>
        </w:rPr>
        <w:fldChar w:fldCharType="end"/>
      </w:r>
      <w:r w:rsidRPr="008D79F1">
        <w:rPr>
          <w:rFonts w:eastAsia="Times New Roman"/>
          <w:sz w:val="22"/>
          <w:lang w:bidi="ar-IQ"/>
        </w:rPr>
      </w:r>
      <w:r w:rsidRPr="008D79F1">
        <w:rPr>
          <w:rFonts w:eastAsia="Times New Roman"/>
          <w:sz w:val="22"/>
          <w:lang w:bidi="ar-IQ"/>
        </w:rPr>
        <w:fldChar w:fldCharType="separate"/>
      </w:r>
      <w:r w:rsidRPr="008D79F1">
        <w:rPr>
          <w:rFonts w:eastAsia="Times New Roman"/>
          <w:sz w:val="22"/>
          <w:lang w:bidi="ar-IQ"/>
        </w:rPr>
        <w:t>[</w:t>
      </w:r>
      <w:hyperlink w:anchor="a15" w:history="1">
        <w:r w:rsidRPr="008D79F1">
          <w:rPr>
            <w:rFonts w:eastAsia="Times New Roman"/>
            <w:sz w:val="22"/>
            <w:lang w:bidi="ar-IQ"/>
          </w:rPr>
          <w:t>15</w:t>
        </w:r>
      </w:hyperlink>
      <w:r w:rsidRPr="008D79F1">
        <w:rPr>
          <w:rFonts w:eastAsia="Times New Roman"/>
          <w:sz w:val="22"/>
          <w:lang w:bidi="ar-IQ"/>
        </w:rPr>
        <w:t>,</w:t>
      </w:r>
      <w:hyperlink w:anchor="a18" w:history="1">
        <w:r w:rsidRPr="008D79F1">
          <w:rPr>
            <w:rFonts w:eastAsia="Times New Roman"/>
            <w:sz w:val="22"/>
            <w:lang w:bidi="ar-IQ"/>
          </w:rPr>
          <w:t>18</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The porous design of these frameworks plays a vital role in facilitating efficient drug loading, cell penetration, nutrient flow, and tissue assimilation, making them particularly appealing for tissue engineering and regenerative medicine applications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&lt;EndNote&gt;&lt;Cite&gt;&lt;Author&gt;Janmohammadi&lt;/Author&gt;&lt;Year&gt;2023&lt;/Year&gt;&lt;RecNum&gt;22&lt;/RecNum&gt;&lt;DisplayText&gt;[19]&lt;/DisplayText&gt;&lt;record&gt;&lt;rec-number&gt;22&lt;/rec-number&gt;&lt;foreign-keys&gt;&lt;key app="EN" db-id="t200ppxxsra02qe955kpd02s9wv90szs0wwx" timestamp="1716011388"&gt;22&lt;/key&gt;&lt;/foreign-keys&gt;&lt;ref-type name="Journal Article"&gt;17&lt;/ref-type&gt;&lt;contributors&gt;&lt;authors&gt;&lt;author&gt;Janmohammadi, Mahsa&lt;/author&gt;&lt;author&gt;Nazemi, Zahra&lt;/author&gt;&lt;author&gt;Salehi, Amin Orash Mahmoud&lt;/author&gt;&lt;author&gt;Seyfoori, Amir&lt;/author&gt;&lt;author&gt;John, Johnson V&lt;/author&gt;&lt;author&gt;Nourbakhsh, Mohammad Sadegh&lt;/author&gt;&lt;author&gt;Akbari, Mohsen&lt;/author&gt;&lt;/authors&gt;&lt;/contributors&gt;&lt;titles&gt;&lt;title&gt;Cellulose-based composite scaffolds for bone tissue engineering and localized drug delivery&lt;/title&gt;&lt;secondary-title&gt;Bioactive materials&lt;/secondary-title&gt;&lt;/titles&gt;&lt;periodical&gt;&lt;full-title&gt;Bioactive materials&lt;/full-title&gt;&lt;/periodical&gt;&lt;pages&gt;137-163&lt;/pages&gt;&lt;volume&gt;20&lt;/volume&gt;&lt;dates&gt;&lt;year&gt;2023&lt;/year&gt;&lt;/dates&gt;&lt;isbn&gt;2452-199X&lt;/isbn&gt;&lt;urls&gt;&lt;/urls&gt;&lt;/record&gt;&lt;/Cite&gt;&lt;/EndNote&gt;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19" w:history="1">
        <w:r w:rsidRPr="008D79F1">
          <w:rPr>
            <w:rFonts w:eastAsia="Times New Roman"/>
            <w:sz w:val="22"/>
            <w:lang w:bidi="ar-IQ"/>
          </w:rPr>
          <w:t>19</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The creation and advancement of polymer-based frameworks involve meticulous material selection, refinement of manufacturing techniques, and incorporation of functional elements to customize their properties for specific therapeutic uses. Aspects such as permeability, surface features, degradation speed, and structural integrity significantly impact the performance of these frameworks in drug delivery and tissue regeneration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&lt;EndNote&gt;&lt;Cite&gt;&lt;Author&gt;Echeverria Molina&lt;/Author&gt;&lt;Year&gt;2021&lt;/Year&gt;&lt;RecNum&gt;23&lt;/RecNum&gt;&lt;DisplayText&gt;[7, 20]&lt;/DisplayText&gt;&lt;record&gt;&lt;rec-number&gt;23&lt;/rec-number&gt;&lt;foreign-keys&gt;&lt;key app="EN" db-id="t200ppxxsra02qe955kpd02s9wv90szs0wwx" timestamp="1716011512"&gt;23&lt;/key&gt;&lt;/foreign-keys&gt;&lt;ref-type name="Journal Article"&gt;17&lt;/ref-type&gt;&lt;contributors&gt;&lt;authors&gt;&lt;author&gt;Echeverria Molina, Maria I&lt;/author&gt;&lt;author&gt;Malollari, Katerina G&lt;/author&gt;&lt;author&gt;Komvopoulos, Kyriakos&lt;/author&gt;&lt;/authors&gt;&lt;/contributors&gt;&lt;titles&gt;&lt;title&gt;Design challenges in polymeric scaffolds for tissue engineering&lt;/title&gt;&lt;secondary-title&gt;Frontiers in Bioengineering and Biotechnology&lt;/secondary-title&gt;&lt;/titles&gt;&lt;periodical&gt;&lt;full-title&gt;Frontiers in Bioengineering and Biotechnology&lt;/full-title&gt;&lt;/periodical&gt;&lt;pages&gt;617141&lt;/pages&gt;&lt;volume&gt;9&lt;/volume&gt;&lt;dates&gt;&lt;year&gt;2021&lt;/year&gt;&lt;/dates&gt;&lt;isbn&gt;2296-4185&lt;/isbn&gt;&lt;urls&gt;&lt;/urls&gt;&lt;/record&gt;&lt;/Cite&gt;&lt;Cite&gt;&lt;Author&gt;Nikolova&lt;/Author&gt;&lt;Year&gt;2019&lt;/Year&gt;&lt;RecNum&gt;24&lt;/RecNum&gt;&lt;record&gt;&lt;rec-number&gt;24&lt;/rec-number&gt;&lt;foreign-keys&gt;&lt;key app="EN" db-id="t200ppxxsra02qe955kpd02s9wv90szs0wwx" timestamp="1716011544"&gt;24&lt;/key&gt;&lt;/foreign-keys&gt;&lt;ref-type name="Journal Article"&gt;17&lt;/ref-type&gt;&lt;contributors&gt;&lt;authors&gt;&lt;author&gt;Nikolova, Maria P&lt;/author&gt;&lt;author&gt;Chavali, Murthy S&lt;/author&gt;&lt;/authors&gt;&lt;/contributors&gt;&lt;titles&gt;&lt;title&gt;Recent advances in biomaterials for 3D scaffolds: A review&lt;/title&gt;&lt;secondary-title&gt;Bioactive materials&lt;/secondary-title&gt;&lt;/titles&gt;&lt;periodical&gt;&lt;full-title&gt;Bioactive materials&lt;/full-title&gt;&lt;/periodical&gt;&lt;pages&gt;271-292&lt;/pages&gt;&lt;volume&gt;4&lt;/volume&gt;&lt;dates&gt;&lt;year&gt;2019&lt;/year&gt;&lt;/dates&gt;&lt;isbn&gt;2452-199X&lt;/isbn&gt;&lt;urls&gt;&lt;/urls&gt;&lt;/record&gt;&lt;/Cite&gt;&lt;/EndNote&gt;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20" w:history="1">
        <w:r w:rsidRPr="008D79F1">
          <w:rPr>
            <w:rFonts w:eastAsia="Times New Roman"/>
            <w:sz w:val="22"/>
            <w:lang w:bidi="ar-IQ"/>
          </w:rPr>
          <w:t>20</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researchers have explored various strategies to enhance the drug delivery capabilities of polymeric scaffolds, these include the incorporation of functional components such as nanofillers, polyelectrolytes, or other functional polymers to modulate the scaffold's physicochemical properties and </w:t>
      </w:r>
      <w:r w:rsidRPr="008D79F1">
        <w:rPr>
          <w:rFonts w:eastAsia="Times New Roman"/>
          <w:sz w:val="22"/>
          <w:lang w:bidi="ar-IQ"/>
        </w:rPr>
        <w:lastRenderedPageBreak/>
        <w:t xml:space="preserve">drug release kinetics such as graphene oxide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&lt;EndNote&gt;&lt;Cite&gt;&lt;Author&gt;Biru&lt;/Author&gt;&lt;Year&gt;2022&lt;/Year&gt;&lt;RecNum&gt;25&lt;/RecNum&gt;&lt;DisplayText&gt;[21]&lt;/DisplayText&gt;&lt;record&gt;&lt;rec-number&gt;25&lt;/rec-number&gt;&lt;foreign-keys&gt;&lt;key app="EN" db-id="t200ppxxsra02qe955kpd02s9wv90szs0wwx" timestamp="1716011830"&gt;25&lt;/key&gt;&lt;/foreign-keys&gt;&lt;ref-type name="Journal Article"&gt;17&lt;/ref-type&gt;&lt;contributors&gt;&lt;authors&gt;&lt;author&gt;Biru, Elena Iuliana&lt;/author&gt;&lt;author&gt;Necolau, Madalina Ioana&lt;/author&gt;&lt;author&gt;Zainea, Adriana&lt;/author&gt;&lt;author&gt;Iovu, Horia&lt;/author&gt;&lt;/authors&gt;&lt;/contributors&gt;&lt;titles&gt;&lt;title&gt;Graphene oxide–protein-based scaffolds for tissue engineering: recent advances and applications&lt;/title&gt;&lt;secondary-title&gt;Polymers&lt;/secondary-title&gt;&lt;/titles&gt;&lt;periodical&gt;&lt;full-title&gt;Polymers&lt;/full-title&gt;&lt;/periodical&gt;&lt;pages&gt;1032&lt;/pages&gt;&lt;volume&gt;14&lt;/volume&gt;&lt;number&gt;5&lt;/number&gt;&lt;dates&gt;&lt;year&gt;2022&lt;/year&gt;&lt;/dates&gt;&lt;isbn&gt;2073-4360&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21" w:history="1">
        <w:r w:rsidRPr="008D79F1">
          <w:rPr>
            <w:rFonts w:eastAsia="Times New Roman"/>
            <w:sz w:val="22"/>
            <w:lang w:bidi="ar-IQ"/>
          </w:rPr>
          <w:t>21</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or hydroxyapatite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&lt;EndNote&gt;&lt;Cite&gt;&lt;Author&gt;Bogala&lt;/Author&gt;&lt;Year&gt;2022&lt;/Year&gt;&lt;RecNum&gt;26&lt;/RecNum&gt;&lt;DisplayText&gt;[22]&lt;/DisplayText&gt;&lt;record&gt;&lt;rec-number&gt;26&lt;/rec-number&gt;&lt;foreign-keys&gt;&lt;key app="EN" db-id="t200ppxxsra02qe955kpd02s9wv90szs0wwx" timestamp="1716011942"&gt;26&lt;/key&gt;&lt;/foreign-keys&gt;&lt;ref-type name="Journal Article"&gt;17&lt;/ref-type&gt;&lt;contributors&gt;&lt;authors&gt;&lt;author&gt;Bogala, Mallikharjuna Reddy&lt;/author&gt;&lt;/authors&gt;&lt;/contributors&gt;&lt;titles&gt;&lt;title&gt;Three-dimensional (3D) printing of hydroxyapatite-based scaffolds: a review&lt;/title&gt;&lt;secondary-title&gt;Bioprinting&lt;/secondary-title&gt;&lt;/titles&gt;&lt;periodical&gt;&lt;full-title&gt;Bioprinting&lt;/full-title&gt;&lt;/periodical&gt;&lt;pages&gt;e00244&lt;/pages&gt;&lt;volume&gt;28&lt;/volume&gt;&lt;dates&gt;&lt;year&gt;2022&lt;/year&gt;&lt;/dates&gt;&lt;isbn&gt;2405-8866&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22" w:history="1">
        <w:r w:rsidRPr="008D79F1">
          <w:rPr>
            <w:rFonts w:eastAsia="Times New Roman"/>
            <w:sz w:val="22"/>
            <w:lang w:bidi="ar-IQ"/>
          </w:rPr>
          <w:t>22</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to modulate the scaffold's physicochemical properties and drug release kinetics. Additionally, the use of polyelectrolytes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&lt;EndNote&gt;&lt;Cite&gt;&lt;Author&gt;Kastania&lt;/Author&gt;&lt;Year&gt;2020&lt;/Year&gt;&lt;RecNum&gt;27&lt;/RecNum&gt;&lt;DisplayText&gt;[23]&lt;/DisplayText&gt;&lt;record&gt;&lt;rec-number&gt;27&lt;/rec-number&gt;&lt;foreign-keys&gt;&lt;key app="EN" db-id="t200ppxxsra02qe955kpd02s9wv90szs0wwx" timestamp="1716012030"&gt;27&lt;/key&gt;&lt;/foreign-keys&gt;&lt;ref-type name="Journal Article"&gt;17&lt;/ref-type&gt;&lt;contributors&gt;&lt;authors&gt;&lt;author&gt;Kastania, Georgia&lt;/author&gt;&lt;author&gt;Campbell, Jack&lt;/author&gt;&lt;author&gt;Mitford, Jacob&lt;/author&gt;&lt;author&gt;Volodkin, Dmitry&lt;/author&gt;&lt;/authors&gt;&lt;/contributors&gt;&lt;titles&gt;&lt;title&gt;Polyelectrolyte Multilayer Capsule (PEMC)-Based Scaffolds for Tissue Engineering&lt;/title&gt;&lt;secondary-title&gt;Micromachines&lt;/secondary-title&gt;&lt;/titles&gt;&lt;periodical&gt;&lt;full-title&gt;Micromachines&lt;/full-title&gt;&lt;/periodical&gt;&lt;pages&gt;797&lt;/pages&gt;&lt;volume&gt;11&lt;/volume&gt;&lt;number&gt;9&lt;/number&gt;&lt;dates&gt;&lt;year&gt;2020&lt;/year&gt;&lt;/dates&gt;&lt;isbn&gt;2072-666X&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23" w:history="1">
        <w:r w:rsidRPr="008D79F1">
          <w:rPr>
            <w:rFonts w:eastAsia="Times New Roman"/>
            <w:sz w:val="22"/>
            <w:lang w:bidi="ar-IQ"/>
          </w:rPr>
          <w:t>23</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or other functional polymers can impart desirable characteristics as improved mechanical strength, controlled degradation, and tailored drug release profiles, the selection of biomaterials and optimization of fabrication techniques have been extensively studied to tailor the scaffolds' properties for specific therapeutic applications, the creation and refinement of polymer-based frameworks necessitate meticulous attention to various elements, including void spaces, surface characteristics, decomposition speed, and structural integrity. These aspects play a crucial role in determining the effectiveness of these frameworks for medication administration and biological tissue restoration purposes. Advanced characterization techniques as SEM, FTIR and XRD are employed to gain insights into the chemical composition, crystalline structure and surface morphology</w:t>
      </w:r>
      <w:r w:rsidRPr="008D79F1">
        <w:rPr>
          <w:rFonts w:eastAsia="Times New Roman"/>
          <w:sz w:val="22"/>
          <w:rtl/>
          <w:lang w:bidi="ar-IQ"/>
        </w:rPr>
        <w:t>.</w:t>
      </w:r>
      <w:r w:rsidRPr="008D79F1">
        <w:rPr>
          <w:rFonts w:eastAsia="Times New Roman"/>
          <w:sz w:val="22"/>
          <w:lang w:bidi="ar-IQ"/>
        </w:rPr>
        <w:t xml:space="preserve"> Several studies have demonstrated the potential of polymeric scaffolds for controlled drug delivery in various therapeutic areas including cancer therapy, wound healing and tissue regeneration, research by Jan N.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&lt;EndNote&gt;&lt;Cite&gt;&lt;Author&gt;Jan&lt;/Author&gt;&lt;Year&gt;2021&lt;/Year&gt;&lt;RecNum&gt;28&lt;/RecNum&gt;&lt;DisplayText&gt;[24]&lt;/DisplayText&gt;&lt;record&gt;&lt;rec-number&gt;28&lt;/rec-number&gt;&lt;foreign-keys&gt;&lt;key app="EN" db-id="t200ppxxsra02qe955kpd02s9wv90szs0wwx" timestamp="1716612481"&gt;28&lt;/key&gt;&lt;/foreign-keys&gt;&lt;ref-type name="Journal Article"&gt;17&lt;/ref-type&gt;&lt;contributors&gt;&lt;authors&gt;&lt;author&gt;Jan, Nasrullah&lt;/author&gt;&lt;author&gt;Madni, Asadullah&lt;/author&gt;&lt;author&gt;Rahim, Muhammad Abdur&lt;/author&gt;&lt;author&gt;Khan, Naveed Ullah&lt;/author&gt;&lt;author&gt;Jamshaid, Talha&lt;/author&gt;&lt;author&gt;Khan, Arshad&lt;/author&gt;&lt;author&gt;Jabar, Abdul&lt;/author&gt;&lt;author&gt;Khan, Safiullah&lt;/author&gt;&lt;author&gt;Shah, Hassan&lt;/author&gt;&lt;/authors&gt;&lt;/contributors&gt;&lt;titles&gt;&lt;title&gt;In vitro anti-leukemic assessment and sustained release behaviour of cytarabine loaded biodegradable polymer based nanoparticles&lt;/title&gt;&lt;secondary-title&gt;Life Sciences&lt;/secondary-title&gt;&lt;/titles&gt;&lt;periodical&gt;&lt;full-title&gt;Life Sciences&lt;/full-title&gt;&lt;/periodical&gt;&lt;pages&gt;118971&lt;/pages&gt;&lt;volume&gt;267&lt;/volume&gt;&lt;dates&gt;&lt;year&gt;2021&lt;/year&gt;&lt;/dates&gt;&lt;isbn&gt;0024-3205&lt;/isbn&gt;&lt;urls&gt;&lt;/urls&gt;&lt;/record&gt;&lt;/Cite&gt;&lt;/EndNote&gt;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24" w:history="1">
        <w:r w:rsidRPr="008D79F1">
          <w:rPr>
            <w:rFonts w:eastAsia="Times New Roman"/>
            <w:sz w:val="22"/>
            <w:lang w:bidi="ar-IQ"/>
          </w:rPr>
          <w:t>24</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successfully developed polymeric scaffold system incorporating drug-loaded nanoparticles for the sustained release of an anticancer agent, showing promising in vitro and in vivo results. Similarly Cheng M. </w:t>
      </w:r>
      <w:r w:rsidRPr="008D79F1">
        <w:rPr>
          <w:rFonts w:eastAsia="Times New Roman"/>
          <w:sz w:val="22"/>
          <w:lang w:bidi="ar-IQ"/>
        </w:rPr>
        <w:fldChar w:fldCharType="begin"/>
      </w:r>
      <w:r w:rsidRPr="008D79F1">
        <w:rPr>
          <w:rFonts w:eastAsia="Times New Roman"/>
          <w:sz w:val="22"/>
          <w:lang w:bidi="ar-IQ"/>
        </w:rPr>
        <w:instrText xml:space="preserve"> ADDIN EN.CITE &lt;EndNote&gt;&lt;Cite&gt;&lt;Author&gt;Cheng&lt;/Author&gt;&lt;Year&gt;2024&lt;/Year&gt;&lt;RecNum&gt;29&lt;/RecNum&gt;&lt;DisplayText&gt;[25]&lt;/DisplayText&gt;&lt;record&gt;&lt;rec-number&gt;29&lt;/rec-number&gt;&lt;foreign-keys&gt;&lt;key app="EN" db-id="t200ppxxsra02qe955kpd02s9wv90szs0wwx" timestamp="1716612709"&gt;29&lt;/key&gt;&lt;/foreign-keys&gt;&lt;ref-type name="Journal Article"&gt;17&lt;/ref-type&gt;&lt;contributors&gt;&lt;authors&gt;&lt;author&gt;Cheng, Matthew&lt;/author&gt;&lt;author&gt;Janzekovic, Jan&lt;/author&gt;&lt;author&gt;Finze, Ronja&lt;/author&gt;&lt;author&gt;Mohseni, Mina&lt;/author&gt;&lt;author&gt;Saifzadeh, Siamak&lt;/author&gt;&lt;author&gt;Ung, Owen&lt;/author&gt;&lt;author&gt;Wagels, Michael&lt;/author&gt;&lt;author&gt;Hutmacher, Dietmar W&lt;/author&gt;&lt;/authors&gt;&lt;/contributors&gt;&lt;titles&gt;&lt;title&gt;Conceptualizing Scaffold Guided Breast Tissue Regeneration in a Preclinical Large Animal Model&lt;/title&gt;&lt;/titles&gt;&lt;dates&gt;&lt;year&gt;2024&lt;/year&gt;&lt;/dates&gt;&lt;urls&gt;&lt;/urls&gt;&lt;/record&gt;&lt;/Cite&gt;&lt;/EndNote&gt;</w:instrText>
      </w:r>
      <w:r w:rsidRPr="008D79F1">
        <w:rPr>
          <w:rFonts w:eastAsia="Times New Roman"/>
          <w:sz w:val="22"/>
          <w:lang w:bidi="ar-IQ"/>
        </w:rPr>
        <w:fldChar w:fldCharType="separate"/>
      </w:r>
      <w:r w:rsidRPr="008D79F1">
        <w:rPr>
          <w:rFonts w:eastAsia="Times New Roman"/>
          <w:sz w:val="22"/>
          <w:lang w:bidi="ar-IQ"/>
        </w:rPr>
        <w:t>[</w:t>
      </w:r>
      <w:hyperlink w:anchor="a25" w:history="1">
        <w:r w:rsidRPr="008D79F1">
          <w:rPr>
            <w:rFonts w:eastAsia="Times New Roman"/>
            <w:sz w:val="22"/>
            <w:lang w:bidi="ar-IQ"/>
          </w:rPr>
          <w:t>25</w:t>
        </w:r>
      </w:hyperlink>
      <w:r w:rsidRPr="008D79F1">
        <w:rPr>
          <w:rFonts w:eastAsia="Times New Roman"/>
          <w:sz w:val="22"/>
          <w:lang w:bidi="ar-IQ"/>
        </w:rPr>
        <w:t>]</w:t>
      </w:r>
      <w:r w:rsidRPr="008D79F1">
        <w:rPr>
          <w:rFonts w:eastAsia="Times New Roman"/>
          <w:sz w:val="22"/>
          <w:lang w:bidi="ar-IQ"/>
        </w:rPr>
        <w:fldChar w:fldCharType="end"/>
      </w:r>
      <w:r w:rsidRPr="008D79F1">
        <w:rPr>
          <w:rFonts w:eastAsia="Times New Roman"/>
          <w:sz w:val="22"/>
          <w:lang w:bidi="ar-IQ"/>
        </w:rPr>
        <w:t xml:space="preserve"> reported the fabrication of manufactured bioresorbable scaffolds filled with autologous fat graft for promoting tissue replacement in preclinical animal model, despite the promising advancements, challenges remain in optimizing the design, fabrication and performance of polymeric scaffolds for specific therapeutic applications, ongoing research efforts are focused on exploring new biomaterials, refining fabrication techniques and investigating the synergistic effects of combining scaffolds with other therapeutic modalities such as gene therapy or stem cell therapy [</w:t>
      </w:r>
      <w:hyperlink w:anchor="a26" w:history="1">
        <w:r w:rsidRPr="008D79F1">
          <w:rPr>
            <w:rFonts w:eastAsia="Times New Roman"/>
            <w:sz w:val="22"/>
            <w:lang w:bidi="ar-IQ"/>
          </w:rPr>
          <w:t>26</w:t>
        </w:r>
      </w:hyperlink>
      <w:r w:rsidRPr="008D79F1">
        <w:rPr>
          <w:rFonts w:eastAsia="Times New Roman"/>
          <w:sz w:val="22"/>
          <w:lang w:bidi="ar-IQ"/>
        </w:rPr>
        <w:t xml:space="preserve">]. In this research we investigate the preparation and characterization of polymeric scaffolds based on three distinct compositions: toluene diisocyanate with graphene oxide, toluene diisocyanate with polyelectrolyte, and hexamethylene diisocyanate with polyelectrolyte, these scaffolds are designed to incorporate drug-loaded nanoparticles, enabling controlled and localized delivery of therapeutic agents within the porous matrix, the comprehensive evaluation encompasses advanced characterization techniques, in </w:t>
      </w:r>
      <w:r w:rsidRPr="008D79F1">
        <w:rPr>
          <w:rFonts w:eastAsia="Times New Roman"/>
          <w:sz w:val="22"/>
          <w:lang w:bidi="ar-IQ"/>
        </w:rPr>
        <w:lastRenderedPageBreak/>
        <w:t>vitro drug release studies and porosity measurements to elucidate the influence of scaffold composition on structural, morphological, and functional properties In addition to examining medication discharge dynamics, the investigation also assessed the potential of interlinked Gelatin/Sodium Alginate as a pharmaceutical vehicle. This was accomplished through laboratory experiments simulating biological fluids, employing Methotrexate as a representative medication. Methotrexate, 2,4-diamino-N10-methyl propylglutamic acid (MTX), is a folic acid antagonist, widely used as a therapeutic agent.   it was first applied for the treatment of life-threatening neoplastic diseases (acute lymphoblastic leukemia, breast cancer, and choriocarcinoma).  it also found application in other diseases: Rheumatoid Arthritis, Multiple Sclerosis, Vasculitis, Systemic Lupus Erythematosus, Psoriasis, and Inflammatory Bowel Disease, MTX's toxic effects can be severe and include hepatotoxicity, liver fibrosis, acute pneumonitis, neurotoxicity, and kidney damage. This considered, to optimize its use, it would be beneficial to develop novel formulations and targeted therapies to maximize its therapeutic effect and reduce its dosage and thus its toxic effects. The molecular structure of Methotrexate is depicted in Figure 1 [</w:t>
      </w:r>
      <w:hyperlink w:anchor="a27" w:history="1">
        <w:r w:rsidRPr="008D79F1">
          <w:rPr>
            <w:rFonts w:eastAsia="Times New Roman"/>
            <w:sz w:val="22"/>
            <w:lang w:bidi="ar-IQ"/>
          </w:rPr>
          <w:t>27</w:t>
        </w:r>
      </w:hyperlink>
      <w:r w:rsidRPr="008D79F1">
        <w:rPr>
          <w:rFonts w:eastAsia="Times New Roman"/>
          <w:sz w:val="22"/>
          <w:lang w:bidi="ar-IQ"/>
        </w:rPr>
        <w:t>].</w:t>
      </w:r>
    </w:p>
    <w:p w14:paraId="5AF89204" w14:textId="013DC2A6" w:rsidR="008D79F1" w:rsidRDefault="008D79F1" w:rsidP="008D79F1">
      <w:pPr>
        <w:pStyle w:val="ListParagraph"/>
        <w:spacing w:before="360" w:line="276" w:lineRule="auto"/>
        <w:ind w:firstLine="567"/>
        <w:jc w:val="lowKashida"/>
        <w:rPr>
          <w:rFonts w:asciiTheme="majorBidi" w:hAnsiTheme="majorBidi" w:cstheme="majorBidi"/>
          <w:szCs w:val="24"/>
          <w:highlight w:val="yellow"/>
          <w:lang w:bidi="ar-SY"/>
        </w:rPr>
      </w:pPr>
      <w:r w:rsidRPr="00400244">
        <w:rPr>
          <w:rFonts w:asciiTheme="majorBidi" w:hAnsiTheme="majorBidi" w:cstheme="majorBidi"/>
          <w:noProof/>
          <w:szCs w:val="24"/>
        </w:rPr>
        <w:drawing>
          <wp:anchor distT="0" distB="0" distL="114300" distR="114300" simplePos="0" relativeHeight="251671552" behindDoc="1" locked="0" layoutInCell="1" allowOverlap="1" wp14:anchorId="2CE6DCAD" wp14:editId="12B487F4">
            <wp:simplePos x="0" y="0"/>
            <wp:positionH relativeFrom="margin">
              <wp:posOffset>3305717</wp:posOffset>
            </wp:positionH>
            <wp:positionV relativeFrom="paragraph">
              <wp:posOffset>-238339</wp:posOffset>
            </wp:positionV>
            <wp:extent cx="2980525" cy="1653528"/>
            <wp:effectExtent l="0" t="0" r="0" b="44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7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5601" cy="1656344"/>
                    </a:xfrm>
                    <a:prstGeom prst="rect">
                      <a:avLst/>
                    </a:prstGeom>
                  </pic:spPr>
                </pic:pic>
              </a:graphicData>
            </a:graphic>
            <wp14:sizeRelH relativeFrom="margin">
              <wp14:pctWidth>0</wp14:pctWidth>
            </wp14:sizeRelH>
            <wp14:sizeRelV relativeFrom="margin">
              <wp14:pctHeight>0</wp14:pctHeight>
            </wp14:sizeRelV>
          </wp:anchor>
        </w:drawing>
      </w:r>
      <w:r w:rsidRPr="00400244">
        <w:rPr>
          <w:rFonts w:asciiTheme="majorBidi" w:hAnsiTheme="majorBidi" w:cstheme="majorBidi"/>
          <w:noProof/>
          <w:szCs w:val="24"/>
        </w:rPr>
        <w:drawing>
          <wp:anchor distT="0" distB="0" distL="114300" distR="114300" simplePos="0" relativeHeight="251669504" behindDoc="1" locked="0" layoutInCell="1" allowOverlap="1" wp14:anchorId="523BFF7C" wp14:editId="08D5A3B4">
            <wp:simplePos x="0" y="0"/>
            <wp:positionH relativeFrom="margin">
              <wp:posOffset>801370</wp:posOffset>
            </wp:positionH>
            <wp:positionV relativeFrom="paragraph">
              <wp:posOffset>29210</wp:posOffset>
            </wp:positionV>
            <wp:extent cx="1802750" cy="1000125"/>
            <wp:effectExtent l="0" t="0" r="7620" b="0"/>
            <wp:wrapNone/>
            <wp:docPr id="9019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2773" name=""/>
                    <pic:cNvPicPr/>
                  </pic:nvPicPr>
                  <pic:blipFill>
                    <a:blip r:embed="rId18">
                      <a:extLst>
                        <a:ext uri="{28A0092B-C50C-407E-A947-70E740481C1C}">
                          <a14:useLocalDpi xmlns:a14="http://schemas.microsoft.com/office/drawing/2010/main" val="0"/>
                        </a:ext>
                      </a:extLst>
                    </a:blip>
                    <a:stretch>
                      <a:fillRect/>
                    </a:stretch>
                  </pic:blipFill>
                  <pic:spPr>
                    <a:xfrm>
                      <a:off x="0" y="0"/>
                      <a:ext cx="1814995" cy="1006918"/>
                    </a:xfrm>
                    <a:prstGeom prst="rect">
                      <a:avLst/>
                    </a:prstGeom>
                  </pic:spPr>
                </pic:pic>
              </a:graphicData>
            </a:graphic>
            <wp14:sizeRelH relativeFrom="margin">
              <wp14:pctWidth>0</wp14:pctWidth>
            </wp14:sizeRelH>
            <wp14:sizeRelV relativeFrom="margin">
              <wp14:pctHeight>0</wp14:pctHeight>
            </wp14:sizeRelV>
          </wp:anchor>
        </w:drawing>
      </w:r>
    </w:p>
    <w:p w14:paraId="4EB38464" w14:textId="42C6075E" w:rsidR="008D79F1" w:rsidRDefault="008D79F1" w:rsidP="008D79F1">
      <w:pPr>
        <w:pStyle w:val="ListParagraph"/>
        <w:spacing w:before="360" w:line="276" w:lineRule="auto"/>
        <w:ind w:firstLine="567"/>
        <w:jc w:val="lowKashida"/>
        <w:rPr>
          <w:rFonts w:asciiTheme="majorBidi" w:hAnsiTheme="majorBidi" w:cstheme="majorBidi"/>
          <w:szCs w:val="24"/>
          <w:highlight w:val="yellow"/>
          <w:lang w:bidi="ar-SY"/>
        </w:rPr>
      </w:pPr>
    </w:p>
    <w:p w14:paraId="640494AE" w14:textId="12B6934E" w:rsidR="008D79F1" w:rsidRDefault="008D79F1" w:rsidP="008D79F1">
      <w:pPr>
        <w:pStyle w:val="ListParagraph"/>
        <w:spacing w:before="360" w:line="276" w:lineRule="auto"/>
        <w:ind w:firstLine="567"/>
        <w:jc w:val="lowKashida"/>
        <w:rPr>
          <w:rFonts w:asciiTheme="majorBidi" w:hAnsiTheme="majorBidi" w:cstheme="majorBidi"/>
          <w:szCs w:val="24"/>
          <w:highlight w:val="yellow"/>
          <w:lang w:bidi="ar-SY"/>
        </w:rPr>
      </w:pPr>
    </w:p>
    <w:p w14:paraId="18AC7E50" w14:textId="7E06B9CB" w:rsidR="008D79F1" w:rsidRDefault="008D79F1" w:rsidP="008D79F1">
      <w:pPr>
        <w:pStyle w:val="ListParagraph"/>
        <w:spacing w:before="360" w:line="276" w:lineRule="auto"/>
        <w:ind w:firstLine="567"/>
        <w:jc w:val="lowKashida"/>
        <w:rPr>
          <w:rFonts w:asciiTheme="majorBidi" w:hAnsiTheme="majorBidi" w:cstheme="majorBidi"/>
          <w:szCs w:val="24"/>
          <w:highlight w:val="yellow"/>
          <w:lang w:bidi="ar-SY"/>
        </w:rPr>
      </w:pPr>
    </w:p>
    <w:p w14:paraId="5AE198F2" w14:textId="1BB56411" w:rsidR="008D79F1" w:rsidRDefault="008D79F1" w:rsidP="008D79F1">
      <w:pPr>
        <w:pStyle w:val="ListParagraph"/>
        <w:spacing w:before="360" w:line="276" w:lineRule="auto"/>
        <w:ind w:firstLine="567"/>
        <w:jc w:val="lowKashida"/>
        <w:rPr>
          <w:rFonts w:asciiTheme="majorBidi" w:hAnsiTheme="majorBidi" w:cstheme="majorBidi"/>
          <w:szCs w:val="24"/>
          <w:highlight w:val="yellow"/>
          <w:lang w:bidi="ar-SY"/>
        </w:rPr>
      </w:pPr>
    </w:p>
    <w:p w14:paraId="6FF3F0E1" w14:textId="77777777" w:rsidR="00985818" w:rsidRDefault="00985818" w:rsidP="008D79F1">
      <w:pPr>
        <w:pStyle w:val="TCaptionFig"/>
        <w:rPr>
          <w:b/>
        </w:rPr>
      </w:pPr>
    </w:p>
    <w:p w14:paraId="158B52EC" w14:textId="5B423591" w:rsidR="008D79F1" w:rsidRDefault="001F1C6E" w:rsidP="008D79F1">
      <w:pPr>
        <w:pStyle w:val="TCaptionFig"/>
        <w:rPr>
          <w:b/>
        </w:rPr>
      </w:pPr>
      <w:r>
        <w:rPr>
          <w:b/>
        </w:rPr>
        <w:t xml:space="preserve">Figure 1: </w:t>
      </w:r>
      <w:r w:rsidRPr="001F1C6E">
        <w:rPr>
          <w:bCs w:val="0"/>
        </w:rPr>
        <w:t>Methotrexate's s</w:t>
      </w:r>
      <w:r w:rsidR="008D79F1" w:rsidRPr="001F1C6E">
        <w:rPr>
          <w:bCs w:val="0"/>
        </w:rPr>
        <w:t>tructure</w:t>
      </w:r>
    </w:p>
    <w:p w14:paraId="1654BABE" w14:textId="6A191D54" w:rsidR="008D79F1" w:rsidRPr="008D79F1" w:rsidRDefault="008D79F1" w:rsidP="008D79F1">
      <w:pPr>
        <w:pStyle w:val="ListParagraph"/>
        <w:spacing w:line="276" w:lineRule="auto"/>
        <w:ind w:left="0"/>
        <w:contextualSpacing w:val="0"/>
        <w:jc w:val="lowKashida"/>
        <w:rPr>
          <w:rFonts w:eastAsia="Times New Roman"/>
          <w:sz w:val="22"/>
          <w:lang w:bidi="ar-IQ"/>
        </w:rPr>
      </w:pPr>
      <w:bookmarkStart w:id="7" w:name="_Hlk170691824"/>
      <w:r w:rsidRPr="008D79F1">
        <w:rPr>
          <w:rFonts w:eastAsia="Times New Roman"/>
          <w:sz w:val="22"/>
          <w:lang w:bidi="ar-IQ"/>
        </w:rPr>
        <w:t>The significance of this research lies in its contribution to the development of advanced drug delivery systems with improved therapeutic outcomes and reduced side effects, by leveraging the unique properties of polymeric scaffolds and incorporating drug-loaded microspheres, this study aims to pave the way for more effective and targeted treatment strategies in various biomedical applications, such as cancer therapy, tissue regeneration, and wound healing.</w:t>
      </w:r>
      <w:bookmarkEnd w:id="7"/>
      <w:r w:rsidRPr="008D79F1">
        <w:rPr>
          <w:b/>
          <w:bCs/>
          <w:lang w:bidi="fa-IR"/>
        </w:rPr>
        <w:t xml:space="preserve"> </w:t>
      </w:r>
    </w:p>
    <w:p w14:paraId="439F7EF1" w14:textId="361EAC97" w:rsidR="00F9063A" w:rsidRDefault="00F9063A" w:rsidP="0031742D">
      <w:pPr>
        <w:pStyle w:val="Tmaintitle"/>
        <w:rPr>
          <w:rFonts w:eastAsia="Calibri"/>
        </w:rPr>
      </w:pPr>
      <w:r w:rsidRPr="00F9063A">
        <w:t>2.</w:t>
      </w:r>
      <w:r w:rsidR="008D79F1" w:rsidRPr="008D79F1">
        <w:rPr>
          <w:rFonts w:eastAsia="Calibri"/>
        </w:rPr>
        <w:tab/>
        <w:t>Experimental</w:t>
      </w:r>
    </w:p>
    <w:p w14:paraId="669C52D6" w14:textId="0D2BF315" w:rsidR="003B3D67" w:rsidRDefault="003B3D67" w:rsidP="00BD4586">
      <w:pPr>
        <w:pStyle w:val="TSubtitle"/>
      </w:pPr>
      <w:r>
        <w:t xml:space="preserve">2.1. </w:t>
      </w:r>
      <w:r w:rsidR="008D79F1" w:rsidRPr="008D79F1">
        <w:t>Materials</w:t>
      </w:r>
    </w:p>
    <w:p w14:paraId="620AA661" w14:textId="77777777" w:rsidR="008D79F1" w:rsidRPr="008D79F1" w:rsidRDefault="008D79F1" w:rsidP="00BD4586">
      <w:pPr>
        <w:pStyle w:val="TSubtitle"/>
        <w:rPr>
          <w:rFonts w:eastAsia="Times New Roman"/>
          <w:b w:val="0"/>
          <w:lang w:val="en-US" w:eastAsia="en-US" w:bidi="ar-IQ"/>
        </w:rPr>
      </w:pPr>
      <w:r w:rsidRPr="008D79F1">
        <w:rPr>
          <w:rFonts w:eastAsia="Times New Roman"/>
          <w:b w:val="0"/>
          <w:lang w:val="en-US" w:eastAsia="en-US" w:bidi="ar-IQ"/>
        </w:rPr>
        <w:t xml:space="preserve">Poly Caprolactone ((C6H10O2) n, Mn ~80,000, Aldrich, USA). Polyethylene Glycol (PEG) (H(OCH2CH2)nOH, Mn ~6,000, Aldrich, USA),. Polyelectrolyte (PE) was </w:t>
      </w:r>
      <w:r w:rsidRPr="008D79F1">
        <w:rPr>
          <w:rFonts w:eastAsia="Times New Roman"/>
          <w:b w:val="0"/>
          <w:lang w:val="en-US" w:eastAsia="en-US" w:bidi="ar-IQ"/>
        </w:rPr>
        <w:lastRenderedPageBreak/>
        <w:t>supplied by a state company in the petrochemical industry (Iraq). Hexamethylene Diisocyanate (HDI) ((CH2)6(NCO)2, Sigma-Aldrich, USA, 99% purity). Chitosan (Aldrich, USA). Icariin (C33H40O15. Methotrexate (MTX) (C20H22N8O5, Aldrich, USA). Hydroxyapatite (HA) (Ca5(PO4)3(OH), Aldrich, USA, particle size &lt;200 nm, ≥90% purity). Phosphate Buffer Solution (PBS) (LRCO). Ethylenediamine (EN) (C2H8N2, Aldrich, USA). Trimethylamine (TMA) (C3H9N, Aldrich, USA). N, N'-Dimethylformamide (DMF) (C3H7NO, Fisher Chemical). Methanol (Fisher Chemical). Hydrogen Peroxide (H2O2, Aldrich, USA). Castor Oil (Merck, Germany, USP grade). Cobalt Chloride (CoCl2, B.D.H., UK, ≥98% purity). Dialysis Bags (Hi Media Laboratories, India, molecular weight cut-off 12,000-14,000 Da). Calcium Chloride (Fluka, USA, ≥97% purity), Sodium Carbonate (Na2CO3, Fluka, USA, ≥99.5% purity)</w:t>
      </w:r>
    </w:p>
    <w:p w14:paraId="474C94AA" w14:textId="46FE0213" w:rsidR="001136EF" w:rsidRPr="00FB2068" w:rsidRDefault="00F9063A" w:rsidP="007D6ABE">
      <w:pPr>
        <w:pStyle w:val="TSubtitle"/>
        <w:rPr>
          <w:lang w:bidi="ar-IQ"/>
        </w:rPr>
      </w:pPr>
      <w:r w:rsidRPr="001136EF">
        <w:t>2</w:t>
      </w:r>
      <w:r w:rsidR="003B3D67" w:rsidRPr="001136EF">
        <w:t>.2</w:t>
      </w:r>
      <w:r w:rsidRPr="001136EF">
        <w:t xml:space="preserve">. </w:t>
      </w:r>
      <w:r w:rsidR="007D6ABE" w:rsidRPr="007D6ABE">
        <w:t>Instruments</w:t>
      </w:r>
      <w:r w:rsidR="007D6ABE">
        <w:t xml:space="preserve"> </w:t>
      </w:r>
      <w:r w:rsidR="007D6ABE" w:rsidRPr="007D6ABE">
        <w:t xml:space="preserve">and Characterization Techniques  </w:t>
      </w:r>
    </w:p>
    <w:p w14:paraId="5FF02BAD" w14:textId="71FC41B4" w:rsidR="001136EF" w:rsidRPr="00FB2068" w:rsidRDefault="007D6ABE" w:rsidP="00BD4586">
      <w:pPr>
        <w:pStyle w:val="text"/>
        <w:rPr>
          <w:lang w:bidi="ar-IQ"/>
        </w:rPr>
      </w:pPr>
      <w:r w:rsidRPr="007D6ABE">
        <w:rPr>
          <w:lang w:bidi="ar-IQ"/>
        </w:rPr>
        <w:t>Fourier-Transform Infrared Spectroscopy (FT-IR) (Shimadzu-Asinittw FTIR spectrophotometer) was utilized for the chemical analysis of the microparticles and scaffolds. At the same time, the surface morphology of prepared samples was studied using Scanning Electron Microscopy (SEM) and X-ray diffraction (XRD) (PanAlytical ). Microscopic images of the microparticles were obtained using a digital optical microscope (Optka microscope B-'290 Series). A Leica ICC50 HD Microscope Camera was employed to determine the dimensions of the MTX microparticles.  UV-visible spectroscopy; (Shimadzu 1800-UV) was employed for monitoring the in vitro drug release.</w:t>
      </w:r>
    </w:p>
    <w:p w14:paraId="33E8DDE3" w14:textId="74F47E53" w:rsidR="004F2C27" w:rsidRDefault="00985818" w:rsidP="00985818">
      <w:pPr>
        <w:pStyle w:val="TSubtitle"/>
        <w:ind w:left="360" w:hanging="360"/>
        <w:jc w:val="left"/>
        <w:rPr>
          <w:lang w:bidi="ar-IQ"/>
        </w:rPr>
      </w:pPr>
      <w:r>
        <w:t xml:space="preserve">2.3 </w:t>
      </w:r>
      <w:r w:rsidR="007D6ABE" w:rsidRPr="007D6ABE">
        <w:t xml:space="preserve">Preparation of Methotrexate-Loaded microspheres </w:t>
      </w:r>
    </w:p>
    <w:p w14:paraId="74758900" w14:textId="77777777" w:rsidR="007D6ABE" w:rsidRDefault="007D6ABE" w:rsidP="00BD4586">
      <w:pPr>
        <w:pStyle w:val="TSubtitle"/>
        <w:rPr>
          <w:lang w:val="en-US"/>
        </w:rPr>
      </w:pPr>
      <w:r w:rsidRPr="007D6ABE">
        <w:rPr>
          <w:rFonts w:eastAsia="Times New Roman"/>
          <w:b w:val="0"/>
          <w:lang w:val="en-US" w:eastAsia="en-US" w:bidi="ar-IQ"/>
        </w:rPr>
        <w:t xml:space="preserve">Fabrication of sodium alginate/chitosan microparticles: The sodium alginate microspheres were produced utilizing a modified version of the inotropic gelation method described in previous research [27], This process involved dissolving 40 mg of sodium alginate in 10 ml of purified water for 60 minutes at 85 °C. Separately, varying quantities of MTX (100, 200, and 300 mg), labeled as MTX1, MTX2, and MTX3 respectively, were dissolved in 3 ml of sodium hydroxide solution before being combined with the sodium alginate mixture (referred to as the carrier solution). In a separate container, chitosan solutions were prepared by dissolving 30 mg of chitosan in 30 ml of freshly made 2% v/v acetic acid solution. This was achieved using a magnetic stirrer operating at 150 rotations per minute (rpm) for 3 hours. The solution's pH was then adjusted to 5.5 using 0.1 M acetate buffer. Subsequently, 30 gm of CaCl2 was incorporated and dissolved into the chitosan solution (termed the cross-linking solution). The carrier solution was then introduced via a medical syringe into a beaker </w:t>
      </w:r>
      <w:r w:rsidRPr="007D6ABE">
        <w:rPr>
          <w:rFonts w:eastAsia="Times New Roman"/>
          <w:b w:val="0"/>
          <w:lang w:val="en-US" w:eastAsia="en-US" w:bidi="ar-IQ"/>
        </w:rPr>
        <w:lastRenderedPageBreak/>
        <w:t>containing the cross-linking agent solution. This mixture was continuously agitated with a magnetic mixer for 30 seconds. Following this, the resulting product was filtered, rinsed with isopropyl alcohol, and allowed to dry at 25 degrees Celsius (as illustrated in Scheme 1) [28].</w:t>
      </w:r>
    </w:p>
    <w:p w14:paraId="451B14B0" w14:textId="77777777" w:rsidR="007D6ABE" w:rsidRPr="007D6ABE" w:rsidRDefault="007D6ABE" w:rsidP="007D6ABE">
      <w:pPr>
        <w:jc w:val="both"/>
        <w:rPr>
          <w:sz w:val="22"/>
          <w:szCs w:val="22"/>
          <w:lang w:bidi="ar-IQ"/>
        </w:rPr>
      </w:pPr>
      <w:r w:rsidRPr="007D6ABE">
        <w:rPr>
          <w:rFonts w:eastAsia="Calibri"/>
          <w:b/>
          <w:sz w:val="22"/>
          <w:szCs w:val="22"/>
          <w:lang w:val="tr-TR" w:eastAsia="zh-CN" w:bidi="fa-IR"/>
        </w:rPr>
        <w:t>2.4.</w:t>
      </w:r>
      <w:r w:rsidRPr="007D6ABE">
        <w:rPr>
          <w:rFonts w:eastAsia="Calibri"/>
          <w:b/>
          <w:sz w:val="22"/>
          <w:szCs w:val="22"/>
          <w:lang w:val="tr-TR" w:eastAsia="zh-CN" w:bidi="fa-IR"/>
        </w:rPr>
        <w:tab/>
        <w:t>Preparation of Hexamethylene Diisocyanate Scaffold and Drug-Loaded microspheres:</w:t>
      </w:r>
      <w:r w:rsidR="001136EF" w:rsidRPr="007D6ABE">
        <w:rPr>
          <w:sz w:val="22"/>
          <w:szCs w:val="22"/>
          <w:lang w:bidi="ar-IQ"/>
        </w:rPr>
        <w:t xml:space="preserve">The first </w:t>
      </w:r>
      <w:r w:rsidRPr="007D6ABE">
        <w:rPr>
          <w:sz w:val="22"/>
          <w:szCs w:val="22"/>
          <w:lang w:bidi="ar-IQ"/>
        </w:rPr>
        <w:t>The creation of polyurethane frameworks involves a condensation-style polymerization, typically featuring the interaction between isocyanate (-NCO) and hydroxyl (-OH) groups to form carbamate (-NHCO) bonds. This polymerization usually occurs in two phases, resulting in segmented polyurethane:</w:t>
      </w:r>
    </w:p>
    <w:p w14:paraId="3AF580D9" w14:textId="77777777" w:rsidR="007D6ABE" w:rsidRPr="007D6ABE" w:rsidRDefault="007D6ABE" w:rsidP="007D6ABE">
      <w:pPr>
        <w:jc w:val="both"/>
        <w:rPr>
          <w:sz w:val="22"/>
          <w:szCs w:val="22"/>
          <w:lang w:bidi="ar-IQ"/>
        </w:rPr>
      </w:pPr>
      <w:r w:rsidRPr="007D6ABE">
        <w:rPr>
          <w:sz w:val="22"/>
          <w:szCs w:val="22"/>
          <w:lang w:bidi="ar-IQ"/>
        </w:rPr>
        <w:t>Initial phase: A polyol reacts with a diisocyanate, producing an isocyanate-terminated prepolymer.</w:t>
      </w:r>
    </w:p>
    <w:p w14:paraId="775CE7A9" w14:textId="77777777" w:rsidR="007D6ABE" w:rsidRPr="007D6ABE" w:rsidRDefault="007D6ABE" w:rsidP="007D6ABE">
      <w:pPr>
        <w:jc w:val="both"/>
        <w:rPr>
          <w:sz w:val="22"/>
          <w:szCs w:val="22"/>
          <w:lang w:bidi="ar-IQ"/>
        </w:rPr>
      </w:pPr>
      <w:r w:rsidRPr="007D6ABE">
        <w:rPr>
          <w:sz w:val="22"/>
          <w:szCs w:val="22"/>
          <w:lang w:bidi="ar-IQ"/>
        </w:rPr>
        <w:t>Subsequent phase: Chain extension occurs through the interaction of the prepolymer with a chain extender. The polyurethane prepolymer was produced using polycaprolactone and polyethylene glycol as polyols, combined with hexamethylene diisocyanate and anionic polyacrylamide polyelectrolyte PE (serving as the chain extender). Both polycaprolactone and polyethylene glycol underwent vacuum drying for 48 hours at 40 °C to eliminate trapped moisture. N, N´-Dimethyl formamide (DMF), used as a solvent, was dehydrated using calcium hydride (CaH2) and then treated with a molecular sieve. The detailed protocol for polyurethane synthesis is as follows:</w:t>
      </w:r>
    </w:p>
    <w:p w14:paraId="42302EA3" w14:textId="77777777" w:rsidR="007D6ABE" w:rsidRPr="007D6ABE" w:rsidRDefault="007D6ABE" w:rsidP="007D6ABE">
      <w:pPr>
        <w:jc w:val="both"/>
        <w:rPr>
          <w:sz w:val="22"/>
          <w:szCs w:val="22"/>
          <w:lang w:bidi="ar-IQ"/>
        </w:rPr>
      </w:pPr>
      <w:r w:rsidRPr="007D6ABE">
        <w:rPr>
          <w:sz w:val="22"/>
          <w:szCs w:val="22"/>
          <w:lang w:bidi="ar-IQ"/>
        </w:rPr>
        <w:t>Initial phase: The polyols (PCL and PEG) were combined with HDI at a 1:1:3 molar ratio in DMF solvent, with 0.1% dibutyltin dilaurate (DBTDL) catalyst to form the prepolymer. Specifically, 5 mmol each of PCL and PEG were added to 40 ml of DMF, followed by 15 mmol of HDI and 2-3 drops of DBTDL, under constant stirring.</w:t>
      </w:r>
    </w:p>
    <w:p w14:paraId="4D7A00F3" w14:textId="77777777" w:rsidR="007D6ABE" w:rsidRPr="007D6ABE" w:rsidRDefault="007D6ABE" w:rsidP="007D6ABE">
      <w:pPr>
        <w:jc w:val="both"/>
        <w:rPr>
          <w:sz w:val="22"/>
          <w:szCs w:val="22"/>
          <w:lang w:bidi="ar-IQ"/>
        </w:rPr>
      </w:pPr>
      <w:r w:rsidRPr="007D6ABE">
        <w:rPr>
          <w:sz w:val="22"/>
          <w:szCs w:val="22"/>
          <w:lang w:bidi="ar-IQ"/>
        </w:rPr>
        <w:t>Subsequent phase: Anionic polyacrylamide was introduced at a 1:1 molar ratio with the prepolymer. Specifically, 5 mmol of PE in 10 mL of water was added, (Refer to Scheme 2).</w:t>
      </w:r>
    </w:p>
    <w:p w14:paraId="6ED7637E" w14:textId="511FB1C2" w:rsidR="007D6ABE" w:rsidRDefault="007D6ABE" w:rsidP="007D6ABE">
      <w:pPr>
        <w:jc w:val="both"/>
        <w:rPr>
          <w:sz w:val="22"/>
          <w:szCs w:val="22"/>
          <w:lang w:bidi="ar-IQ"/>
        </w:rPr>
      </w:pPr>
      <w:r w:rsidRPr="007D6ABE">
        <w:rPr>
          <w:sz w:val="22"/>
          <w:szCs w:val="22"/>
          <w:lang w:bidi="ar-IQ"/>
        </w:rPr>
        <w:t>PU scaffolds containing 0.3 g of hydroxyapatite and 0.1 g microspheres were prepared using the same method as a control for subsequent experiments. The synthesized polyurethanes were stored in desiccators for characterization and future studies [29].</w:t>
      </w:r>
    </w:p>
    <w:p w14:paraId="41CB2A66" w14:textId="77777777" w:rsidR="007D6ABE" w:rsidRDefault="007D6ABE" w:rsidP="007D6ABE">
      <w:pPr>
        <w:jc w:val="both"/>
        <w:rPr>
          <w:b/>
          <w:bCs/>
          <w:sz w:val="20"/>
          <w:szCs w:val="20"/>
          <w:lang w:val="tr-TR" w:eastAsia="zh-CN" w:bidi="fa-IR"/>
        </w:rPr>
      </w:pPr>
      <w:r>
        <w:rPr>
          <w:rFonts w:asciiTheme="majorBidi" w:hAnsiTheme="majorBidi" w:cstheme="majorBidi"/>
          <w:noProof/>
        </w:rPr>
        <w:lastRenderedPageBreak/>
        <w:drawing>
          <wp:anchor distT="0" distB="0" distL="114300" distR="114300" simplePos="0" relativeHeight="251672576" behindDoc="1" locked="0" layoutInCell="1" allowOverlap="1" wp14:anchorId="33248C97" wp14:editId="7F895871">
            <wp:simplePos x="0" y="0"/>
            <wp:positionH relativeFrom="margin">
              <wp:align>right</wp:align>
            </wp:positionH>
            <wp:positionV relativeFrom="paragraph">
              <wp:posOffset>152400</wp:posOffset>
            </wp:positionV>
            <wp:extent cx="3105150" cy="2386965"/>
            <wp:effectExtent l="0" t="0" r="0" b="0"/>
            <wp:wrapTight wrapText="bothSides">
              <wp:wrapPolygon edited="0">
                <wp:start x="0" y="0"/>
                <wp:lineTo x="0" y="21376"/>
                <wp:lineTo x="21467" y="21376"/>
                <wp:lineTo x="21467" y="0"/>
                <wp:lineTo x="0" y="0"/>
              </wp:wrapPolygon>
            </wp:wrapTight>
            <wp:docPr id="878219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150"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45076" w14:textId="0E9F7C16" w:rsidR="009A3033" w:rsidRPr="007D6ABE" w:rsidRDefault="007D6ABE" w:rsidP="009A3033">
      <w:pPr>
        <w:jc w:val="both"/>
        <w:rPr>
          <w:sz w:val="22"/>
          <w:szCs w:val="22"/>
          <w:lang w:bidi="ar-IQ"/>
        </w:rPr>
      </w:pPr>
      <w:r w:rsidRPr="00400244">
        <w:rPr>
          <w:rFonts w:asciiTheme="majorBidi" w:hAnsiTheme="majorBidi" w:cstheme="majorBidi"/>
          <w:noProof/>
        </w:rPr>
        <w:object w:dxaOrig="11860" w:dyaOrig="5043" w14:anchorId="2A99F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95.75pt" o:ole="">
            <v:imagedata r:id="rId20" o:title=""/>
          </v:shape>
          <o:OLEObject Type="Embed" ProgID="ChemDraw.Document.6.0" ShapeID="_x0000_i1025" DrawAspect="Content" ObjectID="_1818458143" r:id="rId21"/>
        </w:object>
      </w:r>
      <w:r w:rsidRPr="00400244">
        <w:rPr>
          <w:rFonts w:asciiTheme="majorBidi" w:hAnsiTheme="majorBidi" w:cstheme="majorBidi"/>
          <w:noProof/>
        </w:rPr>
        <w:object w:dxaOrig="11391" w:dyaOrig="10354" w14:anchorId="71CF2A0A">
          <v:shape id="_x0000_i1026" type="#_x0000_t75" style="width:253.5pt;height:423.75pt" o:ole="">
            <v:imagedata r:id="rId22" o:title=""/>
          </v:shape>
          <o:OLEObject Type="Embed" ProgID="ChemDraw.Document.6.0" ShapeID="_x0000_i1026" DrawAspect="Content" ObjectID="_1818458144" r:id="rId23"/>
        </w:object>
      </w:r>
      <w:r w:rsidR="009A3033" w:rsidRPr="009A3033">
        <w:rPr>
          <w:rFonts w:eastAsia="Calibri"/>
          <w:b/>
          <w:bCs/>
          <w:sz w:val="20"/>
          <w:szCs w:val="20"/>
          <w:lang w:val="tr-TR" w:eastAsia="zh-CN" w:bidi="fa-IR"/>
        </w:rPr>
        <w:t xml:space="preserve"> </w:t>
      </w:r>
      <w:r w:rsidR="009A3033" w:rsidRPr="007D6ABE">
        <w:rPr>
          <w:rFonts w:eastAsia="Calibri"/>
          <w:b/>
          <w:bCs/>
          <w:sz w:val="20"/>
          <w:szCs w:val="20"/>
          <w:lang w:val="tr-TR" w:eastAsia="zh-CN" w:bidi="fa-IR"/>
        </w:rPr>
        <w:t>Scheme 1.</w:t>
      </w:r>
      <w:r w:rsidR="009A3033" w:rsidRPr="007D6ABE">
        <w:rPr>
          <w:b/>
          <w:bCs/>
          <w:sz w:val="20"/>
          <w:szCs w:val="20"/>
          <w:lang w:val="tr-TR" w:eastAsia="zh-CN" w:bidi="fa-IR"/>
        </w:rPr>
        <w:t xml:space="preserve"> </w:t>
      </w:r>
      <w:r w:rsidR="009A3033" w:rsidRPr="007D6ABE">
        <w:rPr>
          <w:sz w:val="20"/>
          <w:szCs w:val="20"/>
          <w:lang w:val="tr-TR" w:eastAsia="zh-CN" w:bidi="fa-IR"/>
        </w:rPr>
        <w:t xml:space="preserve">Sodium alginate/chitosan </w:t>
      </w:r>
      <w:bookmarkStart w:id="8" w:name="_Hlk172674713"/>
      <w:r w:rsidR="009A3033" w:rsidRPr="007D6ABE">
        <w:rPr>
          <w:sz w:val="20"/>
          <w:szCs w:val="20"/>
          <w:lang w:val="tr-TR" w:eastAsia="zh-CN" w:bidi="fa-IR"/>
        </w:rPr>
        <w:t>microspheres</w:t>
      </w:r>
      <w:bookmarkEnd w:id="8"/>
      <w:r w:rsidR="009A3033" w:rsidRPr="007D6ABE">
        <w:rPr>
          <w:sz w:val="20"/>
          <w:szCs w:val="20"/>
          <w:lang w:val="tr-TR" w:eastAsia="zh-CN" w:bidi="fa-IR"/>
        </w:rPr>
        <w:t xml:space="preserve"> preparation in two steps: (I) carrier solution (II) cross-linking solution, and (III) microspheres complexation.</w:t>
      </w:r>
      <w:r w:rsidR="009A3033" w:rsidRPr="007D6ABE">
        <w:rPr>
          <w:rFonts w:asciiTheme="majorBidi" w:hAnsiTheme="majorBidi" w:cstheme="majorBidi"/>
          <w:lang w:bidi="ar-IQ"/>
        </w:rPr>
        <w:t xml:space="preserve"> </w:t>
      </w:r>
    </w:p>
    <w:p w14:paraId="5E3187EA" w14:textId="77777777" w:rsidR="009A3033" w:rsidRDefault="009A3033" w:rsidP="007D6ABE">
      <w:pPr>
        <w:jc w:val="both"/>
        <w:rPr>
          <w:rFonts w:eastAsia="Calibri"/>
          <w:sz w:val="20"/>
          <w:szCs w:val="20"/>
          <w:lang w:val="tr-TR" w:eastAsia="zh-CN" w:bidi="fa-IR"/>
        </w:rPr>
      </w:pPr>
    </w:p>
    <w:p w14:paraId="2D37FF24" w14:textId="77777777" w:rsidR="009A3033" w:rsidRDefault="009A3033" w:rsidP="007D6ABE">
      <w:pPr>
        <w:jc w:val="both"/>
        <w:rPr>
          <w:rFonts w:eastAsia="Calibri"/>
          <w:sz w:val="20"/>
          <w:szCs w:val="20"/>
          <w:lang w:val="tr-TR" w:eastAsia="zh-CN" w:bidi="fa-IR"/>
        </w:rPr>
      </w:pPr>
    </w:p>
    <w:p w14:paraId="5843C777" w14:textId="77777777" w:rsidR="009A3033" w:rsidRDefault="009A3033" w:rsidP="007D6ABE">
      <w:pPr>
        <w:jc w:val="both"/>
        <w:rPr>
          <w:rFonts w:eastAsia="Calibri"/>
          <w:sz w:val="20"/>
          <w:szCs w:val="20"/>
          <w:lang w:val="tr-TR" w:eastAsia="zh-CN" w:bidi="fa-IR"/>
        </w:rPr>
      </w:pPr>
    </w:p>
    <w:p w14:paraId="17B34771" w14:textId="154048B2" w:rsidR="007D6ABE" w:rsidRPr="007018FB" w:rsidRDefault="007D6ABE" w:rsidP="007D6ABE">
      <w:pPr>
        <w:jc w:val="both"/>
        <w:rPr>
          <w:rFonts w:eastAsia="Calibri"/>
          <w:sz w:val="20"/>
          <w:szCs w:val="20"/>
          <w:lang w:val="tr-TR" w:eastAsia="zh-CN" w:bidi="fa-IR"/>
        </w:rPr>
      </w:pPr>
      <w:r w:rsidRPr="007018FB">
        <w:rPr>
          <w:rFonts w:eastAsia="Calibri"/>
          <w:sz w:val="20"/>
          <w:szCs w:val="20"/>
          <w:lang w:val="tr-TR" w:eastAsia="zh-CN" w:bidi="fa-IR"/>
        </w:rPr>
        <w:t>Scaffold</w:t>
      </w:r>
    </w:p>
    <w:p w14:paraId="4035D6B4" w14:textId="6C7A7B59" w:rsidR="007D6ABE" w:rsidRPr="007018FB" w:rsidRDefault="007D6ABE" w:rsidP="007D6ABE">
      <w:pPr>
        <w:jc w:val="both"/>
        <w:rPr>
          <w:sz w:val="22"/>
          <w:szCs w:val="22"/>
          <w:lang w:bidi="ar-IQ"/>
        </w:rPr>
      </w:pPr>
    </w:p>
    <w:p w14:paraId="12A74A0F" w14:textId="77777777" w:rsidR="009A3033" w:rsidRPr="007D6ABE" w:rsidRDefault="009A3033" w:rsidP="009A3033">
      <w:pPr>
        <w:jc w:val="both"/>
        <w:rPr>
          <w:sz w:val="22"/>
          <w:szCs w:val="22"/>
          <w:lang w:bidi="ar-IQ"/>
        </w:rPr>
      </w:pPr>
    </w:p>
    <w:p w14:paraId="70909F7C" w14:textId="77777777" w:rsidR="009A3033" w:rsidRDefault="009A3033" w:rsidP="009A3033">
      <w:pPr>
        <w:jc w:val="both"/>
        <w:rPr>
          <w:rFonts w:eastAsia="Calibri"/>
          <w:sz w:val="20"/>
          <w:szCs w:val="20"/>
          <w:lang w:val="tr-TR" w:eastAsia="zh-CN" w:bidi="fa-IR"/>
        </w:rPr>
      </w:pPr>
      <w:r w:rsidRPr="007D6ABE">
        <w:rPr>
          <w:rFonts w:eastAsia="Calibri"/>
          <w:b/>
          <w:bCs/>
          <w:sz w:val="20"/>
          <w:szCs w:val="20"/>
          <w:lang w:val="tr-TR" w:eastAsia="zh-CN" w:bidi="fa-IR"/>
        </w:rPr>
        <w:t xml:space="preserve">Scheme 2: </w:t>
      </w:r>
      <w:r w:rsidRPr="007018FB">
        <w:rPr>
          <w:rFonts w:eastAsia="Calibri"/>
          <w:sz w:val="20"/>
          <w:szCs w:val="20"/>
          <w:lang w:val="tr-TR" w:eastAsia="zh-CN" w:bidi="fa-IR"/>
        </w:rPr>
        <w:t xml:space="preserve">Preparation of Hexamethylene Diisocyanate </w:t>
      </w:r>
    </w:p>
    <w:p w14:paraId="51D46D97" w14:textId="77777777" w:rsidR="009A3033" w:rsidRDefault="009A3033" w:rsidP="001136EF">
      <w:pPr>
        <w:jc w:val="both"/>
        <w:rPr>
          <w:b/>
          <w:bCs/>
          <w:sz w:val="22"/>
          <w:szCs w:val="22"/>
          <w:lang w:bidi="ar-IQ"/>
        </w:rPr>
      </w:pPr>
    </w:p>
    <w:p w14:paraId="5D7D11AC" w14:textId="77777777" w:rsidR="009A3033" w:rsidRDefault="009A3033" w:rsidP="001136EF">
      <w:pPr>
        <w:jc w:val="both"/>
        <w:rPr>
          <w:b/>
          <w:bCs/>
          <w:sz w:val="22"/>
          <w:szCs w:val="22"/>
          <w:lang w:bidi="ar-IQ"/>
        </w:rPr>
      </w:pPr>
    </w:p>
    <w:p w14:paraId="1857A8C9" w14:textId="1B210DB4" w:rsidR="00A35360" w:rsidRDefault="009A3033" w:rsidP="00985818">
      <w:pPr>
        <w:ind w:left="360" w:hanging="360"/>
        <w:rPr>
          <w:sz w:val="22"/>
          <w:szCs w:val="22"/>
          <w:lang w:bidi="ar-IQ"/>
        </w:rPr>
      </w:pPr>
      <w:r>
        <w:rPr>
          <w:b/>
          <w:bCs/>
          <w:sz w:val="22"/>
          <w:szCs w:val="22"/>
          <w:lang w:bidi="ar-IQ"/>
        </w:rPr>
        <w:t xml:space="preserve">2.5 </w:t>
      </w:r>
      <w:r w:rsidR="00A35360" w:rsidRPr="00A35360">
        <w:rPr>
          <w:b/>
          <w:bCs/>
          <w:sz w:val="22"/>
          <w:szCs w:val="22"/>
          <w:lang w:bidi="ar-IQ"/>
        </w:rPr>
        <w:t>Preparation of Lysozyme Solution for Degradation Studies</w:t>
      </w:r>
      <w:r w:rsidR="00A35360" w:rsidRPr="00A35360">
        <w:rPr>
          <w:sz w:val="22"/>
          <w:szCs w:val="22"/>
          <w:lang w:bidi="ar-IQ"/>
        </w:rPr>
        <w:t>:</w:t>
      </w:r>
    </w:p>
    <w:p w14:paraId="6C410550" w14:textId="77777777" w:rsidR="00A35360" w:rsidRDefault="00A35360" w:rsidP="00BD4586">
      <w:pPr>
        <w:pStyle w:val="TSubtitle"/>
        <w:rPr>
          <w:lang w:val="en-US"/>
        </w:rPr>
      </w:pPr>
      <w:r w:rsidRPr="00A35360">
        <w:rPr>
          <w:rFonts w:eastAsia="Times New Roman"/>
          <w:b w:val="0"/>
          <w:lang w:val="en-US" w:eastAsia="en-US" w:bidi="ar-IQ"/>
        </w:rPr>
        <w:t>Lysozyme is an enzyme found in various biological fluids, used to investigate the degradation behavior of the prepared scaffolds under physiological conditions, the lysozyme solution was prepared by dissolving 0.15 g of lysozyme powder in 100 mL of phosphate-buffered saline (PBS) solution at a pH of 7.4, the PBS solution served as a buffering agent, maintaining a consistent pH level similar to that found in the human body. The lysozyme powder was carefully weighed and transferred into a beaker containing the PBS solution, the mixture was gently stirred using a magnetic stirrer until the lysozyme was completely dissolved, resulting in a clear, homogeneous solution, the lysozyme solution was then transferred to individual sterilized glass containers, ensuring sufficient volume for each scaffold sample to be immersed.</w:t>
      </w:r>
    </w:p>
    <w:p w14:paraId="0D5C4062" w14:textId="49029641" w:rsidR="00A35360" w:rsidRDefault="00985818" w:rsidP="005F7834">
      <w:pPr>
        <w:pStyle w:val="text"/>
        <w:ind w:left="360" w:hanging="540"/>
        <w:jc w:val="left"/>
        <w:rPr>
          <w:lang w:val="tr-TR"/>
        </w:rPr>
      </w:pPr>
      <w:r>
        <w:rPr>
          <w:rFonts w:eastAsia="Calibri"/>
          <w:b/>
          <w:lang w:val="tr-TR" w:eastAsia="zh-CN" w:bidi="fa-IR"/>
        </w:rPr>
        <w:t xml:space="preserve">2.6 </w:t>
      </w:r>
      <w:r w:rsidR="00A35360" w:rsidRPr="00A35360">
        <w:rPr>
          <w:rFonts w:eastAsia="Calibri"/>
          <w:b/>
          <w:lang w:val="tr-TR" w:eastAsia="zh-CN" w:bidi="fa-IR"/>
        </w:rPr>
        <w:t>Preparation of Oxidation Solution for Degradation Studies</w:t>
      </w:r>
    </w:p>
    <w:p w14:paraId="7929CA8C" w14:textId="77777777" w:rsidR="00A35360" w:rsidRDefault="00A35360" w:rsidP="00BD4586">
      <w:pPr>
        <w:pStyle w:val="TSubtitle"/>
        <w:rPr>
          <w:lang w:val="en-US"/>
        </w:rPr>
      </w:pPr>
      <w:r w:rsidRPr="00A35360">
        <w:rPr>
          <w:rFonts w:eastAsia="Times New Roman"/>
          <w:b w:val="0"/>
          <w:lang w:val="en-US" w:eastAsia="en-US" w:bidi="ar-SA"/>
        </w:rPr>
        <w:t xml:space="preserve">To study the oxidative degradation of the prepared scaffolds, prepared an oxidation solution using cobalt chloride (CoCl₂) and hydrogen peroxide (H₂O₂), the oxidation solution was formulated by dissolving 0.1 M of cobalt chloride in 20% (v/v) solution of 30% hydrogen peroxide. In a clean beaker, the appropriate amount of cobalt chloride was weighed and transferred, the 30% hydrogen peroxide solution was then diluted with distilled water to obtain 20% (v/v) concentration, and the diluted hydrogen peroxide solution was gradually added to the cobalt chloride while stirring continuously using a magnetic stirrer. The resulting dark blue solution was allowed to mix thoroughly until a homogeneous mixture was obtained, the oxidation solution was then transferred </w:t>
      </w:r>
      <w:r w:rsidRPr="00A35360">
        <w:rPr>
          <w:rFonts w:eastAsia="Times New Roman"/>
          <w:b w:val="0"/>
          <w:lang w:val="en-US" w:eastAsia="en-US" w:bidi="ar-SA"/>
        </w:rPr>
        <w:lastRenderedPageBreak/>
        <w:t>to individual containers, ensuring sufficient volume for each scaffold sample to be immersed.</w:t>
      </w:r>
    </w:p>
    <w:p w14:paraId="2F0AFF62" w14:textId="77777777" w:rsidR="00A35360" w:rsidRDefault="00A35360" w:rsidP="004B5D5A">
      <w:pPr>
        <w:pStyle w:val="text"/>
        <w:ind w:firstLine="0"/>
        <w:jc w:val="left"/>
        <w:rPr>
          <w:rFonts w:eastAsia="Calibri"/>
          <w:b/>
          <w:lang w:val="tr-TR" w:eastAsia="zh-CN" w:bidi="fa-IR"/>
        </w:rPr>
      </w:pPr>
      <w:r>
        <w:rPr>
          <w:rFonts w:eastAsia="Calibri"/>
          <w:b/>
          <w:lang w:val="tr-TR" w:eastAsia="zh-CN" w:bidi="fa-IR"/>
        </w:rPr>
        <w:t xml:space="preserve">3. </w:t>
      </w:r>
      <w:r w:rsidRPr="00A35360">
        <w:rPr>
          <w:rFonts w:eastAsia="Calibri"/>
          <w:b/>
          <w:lang w:val="tr-TR" w:eastAsia="zh-CN" w:bidi="fa-IR"/>
        </w:rPr>
        <w:t xml:space="preserve">Analytical Method </w:t>
      </w:r>
    </w:p>
    <w:p w14:paraId="2176F2BE" w14:textId="2F03474A" w:rsidR="00A35360" w:rsidRPr="00A35360" w:rsidRDefault="00A35360" w:rsidP="004B5D5A">
      <w:pPr>
        <w:pStyle w:val="text"/>
        <w:ind w:firstLine="0"/>
        <w:jc w:val="left"/>
        <w:rPr>
          <w:rFonts w:eastAsia="Calibri"/>
          <w:lang w:bidi="ar-IQ"/>
        </w:rPr>
      </w:pPr>
      <w:r w:rsidRPr="00A35360">
        <w:rPr>
          <w:rFonts w:eastAsia="Calibri"/>
          <w:b/>
          <w:lang w:val="tr-TR" w:eastAsia="zh-CN" w:bidi="fa-IR"/>
        </w:rPr>
        <w:t xml:space="preserve"> </w:t>
      </w:r>
      <w:r w:rsidRPr="00A35360">
        <w:rPr>
          <w:rFonts w:eastAsia="Calibri"/>
          <w:b/>
          <w:bCs/>
          <w:lang w:bidi="ar-IQ"/>
        </w:rPr>
        <w:t>3</w:t>
      </w:r>
      <w:r w:rsidRPr="00A35360">
        <w:rPr>
          <w:rFonts w:eastAsia="Calibri"/>
          <w:b/>
          <w:lang w:val="tr-TR" w:eastAsia="zh-CN" w:bidi="fa-IR"/>
        </w:rPr>
        <w:t>.1</w:t>
      </w:r>
      <w:r w:rsidR="004B5D5A">
        <w:rPr>
          <w:rFonts w:eastAsia="Calibri"/>
          <w:b/>
          <w:lang w:val="tr-TR" w:eastAsia="zh-CN" w:bidi="fa-IR"/>
        </w:rPr>
        <w:t xml:space="preserve"> </w:t>
      </w:r>
      <w:r w:rsidRPr="00A35360">
        <w:rPr>
          <w:rFonts w:eastAsia="Calibri"/>
          <w:b/>
          <w:lang w:val="tr-TR" w:eastAsia="zh-CN" w:bidi="fa-IR"/>
        </w:rPr>
        <w:t xml:space="preserve"> Morphological Study</w:t>
      </w:r>
    </w:p>
    <w:p w14:paraId="266ED99A" w14:textId="44FD0A00" w:rsidR="001136EF" w:rsidRDefault="00A35360" w:rsidP="00A35360">
      <w:pPr>
        <w:pStyle w:val="text"/>
        <w:rPr>
          <w:rFonts w:eastAsia="Calibri"/>
          <w:lang w:bidi="ar-IQ"/>
        </w:rPr>
      </w:pPr>
      <w:r w:rsidRPr="00A35360">
        <w:rPr>
          <w:rFonts w:eastAsia="Calibri"/>
          <w:lang w:bidi="ar-IQ"/>
        </w:rPr>
        <w:t>Microscopic images of the microparticles were obtained using a digital optical microscope (Optka microscope B-'290 Series). A Leica ICC50 HD Microscope Camera was employed to determine the dimensions of the MTX microparticles. The size of three hundred microparticles was assessed by suspending dried microparticles in purified water. The suspension underwent agitation for 5 seconds. A minute droplet of the resulting suspension was placed on a pristine glass slide. The slide containing the MTX microparticles was then secured on the microscope platform. Subsequently, the average diameter and size distribution of the microparticles were calculated</w:t>
      </w:r>
      <w:r>
        <w:rPr>
          <w:rFonts w:eastAsia="Calibri"/>
          <w:lang w:bidi="ar-IQ"/>
        </w:rPr>
        <w:t>.</w:t>
      </w:r>
    </w:p>
    <w:p w14:paraId="33054343" w14:textId="0D7F7BB3" w:rsidR="001136EF" w:rsidRPr="00FB2068" w:rsidRDefault="00BD4586" w:rsidP="00F10452">
      <w:pPr>
        <w:pStyle w:val="TSubtitle"/>
        <w:ind w:left="450" w:hanging="450"/>
        <w:jc w:val="left"/>
        <w:rPr>
          <w:i/>
          <w:iCs/>
        </w:rPr>
      </w:pPr>
      <w:r>
        <w:t xml:space="preserve"> </w:t>
      </w:r>
      <w:bookmarkStart w:id="9" w:name="_Toc143165842"/>
      <w:r w:rsidR="00F10452">
        <w:t xml:space="preserve">3.2 </w:t>
      </w:r>
      <w:r w:rsidR="00A35360" w:rsidRPr="00A35360">
        <w:t>In Vitro Drug Release Studies (Methotrexate Release from Scaffolds)</w:t>
      </w:r>
      <w:bookmarkEnd w:id="9"/>
    </w:p>
    <w:p w14:paraId="4A891D79" w14:textId="77777777" w:rsidR="00A35360" w:rsidRDefault="00A35360" w:rsidP="001E688D">
      <w:pPr>
        <w:pStyle w:val="TSubtitle"/>
        <w:rPr>
          <w:lang w:val="en-US"/>
        </w:rPr>
      </w:pPr>
      <w:r w:rsidRPr="00A35360">
        <w:rPr>
          <w:rFonts w:eastAsia="Times New Roman"/>
          <w:b w:val="0"/>
          <w:lang w:val="en-US" w:eastAsia="en-US" w:bidi="ar-SA"/>
        </w:rPr>
        <w:t>To study the in vitro release of methotrexate from the scaffolds, in a dialysis bag (100 mg) microsphere was immersed 200 mL in a release medium (phosphate-buffered saline, pH 7.4 maintained at 37°C with constant agitation, at specific time intervals, aliquots of the release medium were collected and analyzed for methotrexate content using UV-visible spectroscopy at wavelength of 304 nm for methotrexate detection, the withdrawn volume was replaced with fresh release medium to maintain sink conditions, the cumulative drug release from the scaffolds was calculated and plotted as a function of time.</w:t>
      </w:r>
    </w:p>
    <w:p w14:paraId="036B8DE0" w14:textId="61072D17" w:rsidR="00A35360" w:rsidRDefault="00A824AA" w:rsidP="00A824AA">
      <w:pPr>
        <w:pStyle w:val="text"/>
        <w:ind w:firstLine="0"/>
        <w:jc w:val="left"/>
        <w:rPr>
          <w:lang w:val="tr-TR"/>
        </w:rPr>
      </w:pPr>
      <w:r>
        <w:rPr>
          <w:rFonts w:eastAsia="Calibri"/>
          <w:b/>
          <w:lang w:val="tr-TR" w:eastAsia="zh-CN" w:bidi="fa-IR"/>
        </w:rPr>
        <w:t xml:space="preserve">3.3 </w:t>
      </w:r>
      <w:r w:rsidR="00A35360" w:rsidRPr="00A35360">
        <w:rPr>
          <w:rFonts w:eastAsia="Calibri"/>
          <w:b/>
          <w:lang w:val="tr-TR" w:eastAsia="zh-CN" w:bidi="fa-IR"/>
        </w:rPr>
        <w:t>Porosity Studies (Liquid Displacement Method)</w:t>
      </w:r>
    </w:p>
    <w:p w14:paraId="51E3307A" w14:textId="77777777" w:rsidR="00A35360" w:rsidRPr="00A35360" w:rsidRDefault="00A35360" w:rsidP="001E688D">
      <w:pPr>
        <w:pStyle w:val="TSubtitle"/>
        <w:rPr>
          <w:rFonts w:eastAsia="Times New Roman"/>
          <w:b w:val="0"/>
          <w:lang w:val="en-US" w:eastAsia="en-US" w:bidi="ar-SA"/>
        </w:rPr>
      </w:pPr>
      <w:r w:rsidRPr="00A35360">
        <w:rPr>
          <w:rFonts w:eastAsia="Times New Roman"/>
          <w:b w:val="0"/>
          <w:lang w:val="en-US" w:eastAsia="en-US" w:bidi="ar-SA"/>
        </w:rPr>
        <w:t>The porosity of the scaffolds was evaluated using the liquid displacement method, where ethanol was employed as the displacement liquid due to its ability to penetrate the porous structure of the scaffolds readily, the procedure involved the following steps:</w:t>
      </w:r>
    </w:p>
    <w:p w14:paraId="13C7A15F" w14:textId="77777777" w:rsidR="00A35360" w:rsidRPr="00A35360" w:rsidRDefault="00A35360" w:rsidP="001E688D">
      <w:pPr>
        <w:pStyle w:val="TSubtitle"/>
        <w:rPr>
          <w:rFonts w:eastAsia="Times New Roman"/>
          <w:b w:val="0"/>
          <w:lang w:val="en-US" w:eastAsia="en-US" w:bidi="ar-SA"/>
        </w:rPr>
      </w:pPr>
      <w:r w:rsidRPr="00A35360">
        <w:rPr>
          <w:rFonts w:eastAsia="Times New Roman"/>
          <w:b w:val="0"/>
          <w:lang w:val="en-US" w:eastAsia="en-US" w:bidi="ar-SA"/>
        </w:rPr>
        <w:t>A pre-weighed dry scaffold sample was placed in a graduated cylinder containing a known volume of ethanol V1, the scaffold sample was left immersed in the ethanol for 30 minutes to allow complete penetration of the ethanol into the scaffold's pores, after 30 minutes, the total volume of the ethanol and the immersed scaffold sample was recorded as V2, the scaffold sample was carefully removed from the graduated cylinder, and the remaining volume of ethanol was recorded as V3. The porosity percentage (P%) of the scaffold was calculated using the following equation:</w:t>
      </w:r>
    </w:p>
    <w:p w14:paraId="6C868650" w14:textId="77777777" w:rsidR="00A35360" w:rsidRPr="00A35360" w:rsidRDefault="00A35360" w:rsidP="001E688D">
      <w:pPr>
        <w:pStyle w:val="TSubtitle"/>
        <w:rPr>
          <w:rFonts w:eastAsia="Times New Roman"/>
          <w:b w:val="0"/>
          <w:lang w:val="en-US" w:eastAsia="en-US" w:bidi="ar-SA"/>
        </w:rPr>
      </w:pPr>
      <w:r w:rsidRPr="00A35360">
        <w:rPr>
          <w:rFonts w:eastAsia="Times New Roman"/>
          <w:b w:val="0"/>
          <w:lang w:val="en-US" w:eastAsia="en-US" w:bidi="ar-SA"/>
        </w:rPr>
        <w:t>P% =((V_1  - V_3  )/((V_2  - V_3))× 100% ……….(1)</w:t>
      </w:r>
    </w:p>
    <w:p w14:paraId="7FDB8BDE" w14:textId="77777777" w:rsidR="00A35360" w:rsidRPr="00A35360" w:rsidRDefault="00A35360" w:rsidP="00A35360">
      <w:pPr>
        <w:pStyle w:val="TSubtitle"/>
        <w:rPr>
          <w:rFonts w:eastAsia="Times New Roman"/>
          <w:b w:val="0"/>
          <w:lang w:val="en-US" w:eastAsia="en-US" w:bidi="ar-SA"/>
        </w:rPr>
      </w:pPr>
      <w:r w:rsidRPr="00A35360">
        <w:rPr>
          <w:rFonts w:eastAsia="Times New Roman"/>
          <w:b w:val="0"/>
          <w:lang w:val="en-US" w:eastAsia="en-US" w:bidi="ar-SA"/>
        </w:rPr>
        <w:t>Where: (V1 - V3) represents the volume of ethanol retained within the scaffold sample.</w:t>
      </w:r>
    </w:p>
    <w:p w14:paraId="666C4ED6" w14:textId="77777777" w:rsidR="00A35360" w:rsidRDefault="00A35360" w:rsidP="00A35360">
      <w:pPr>
        <w:pStyle w:val="TSubtitle"/>
        <w:rPr>
          <w:lang w:val="en-US"/>
        </w:rPr>
      </w:pPr>
      <w:r w:rsidRPr="00A35360">
        <w:rPr>
          <w:rFonts w:eastAsia="Times New Roman"/>
          <w:b w:val="0"/>
          <w:lang w:val="en-US" w:eastAsia="en-US" w:bidi="ar-SA"/>
        </w:rPr>
        <w:lastRenderedPageBreak/>
        <w:t>(V2 - V3) represents the total volume of the scaffold sample.</w:t>
      </w:r>
    </w:p>
    <w:p w14:paraId="4E20362B" w14:textId="4E81197E" w:rsidR="00A35360" w:rsidRDefault="00A35360" w:rsidP="004B5D5A">
      <w:pPr>
        <w:pStyle w:val="text"/>
        <w:ind w:left="360" w:hanging="360"/>
        <w:jc w:val="left"/>
        <w:rPr>
          <w:lang w:val="tr-TR"/>
        </w:rPr>
      </w:pPr>
      <w:r w:rsidRPr="00A35360">
        <w:rPr>
          <w:rFonts w:eastAsia="Calibri"/>
          <w:b/>
          <w:lang w:val="tr-TR" w:eastAsia="zh-CN" w:bidi="fa-IR"/>
        </w:rPr>
        <w:t>3.4</w:t>
      </w:r>
      <w:r w:rsidR="004B5D5A">
        <w:rPr>
          <w:rFonts w:eastAsia="Calibri"/>
          <w:b/>
          <w:lang w:val="tr-TR" w:eastAsia="zh-CN" w:bidi="fa-IR"/>
        </w:rPr>
        <w:t xml:space="preserve"> </w:t>
      </w:r>
      <w:r w:rsidRPr="00A35360">
        <w:rPr>
          <w:rFonts w:eastAsia="Calibri"/>
          <w:b/>
          <w:lang w:val="tr-TR" w:eastAsia="zh-CN" w:bidi="fa-IR"/>
        </w:rPr>
        <w:t>Degradation Study of Prepared Scaffolds in Oxidation Solution:</w:t>
      </w:r>
    </w:p>
    <w:p w14:paraId="3057BBF5" w14:textId="6839CB4F" w:rsidR="001136EF" w:rsidRPr="00A35360" w:rsidRDefault="00A35360" w:rsidP="00BD4586">
      <w:pPr>
        <w:pStyle w:val="text"/>
        <w:rPr>
          <w:rtl/>
        </w:rPr>
      </w:pPr>
      <w:r w:rsidRPr="00A35360">
        <w:t>The oxidative degradation behavior investigated of the prepared scaffolds by immersing them in an oxidation solution containing cobalt chloride CoCl₂ and hydrogen peroxide H₂O₂, samples of each scaffold type were carefully cut into equal weights and immersed in individual containers filled with the oxidation solution, at predetermined time intervals (7, 14, and 21 days), the scaffold samples were retrieved from the oxidation solution and gently rinsed with distilled water to remove any residual solution, the samples were then dried in an oven at a controlled temperature for two days to ensure complete dryness. The oxidation solution was replenished every 7 days to maintain a consistent concentration of the oxidizing agents and minimize any potential deviations in the degradation conditions throughout the study.</w:t>
      </w:r>
    </w:p>
    <w:p w14:paraId="1B4E66B6" w14:textId="74C900BD" w:rsidR="00B743EB" w:rsidRPr="00F10452" w:rsidRDefault="00B743EB" w:rsidP="00B743EB">
      <w:pPr>
        <w:pStyle w:val="ListParagraph"/>
        <w:numPr>
          <w:ilvl w:val="0"/>
          <w:numId w:val="24"/>
        </w:numPr>
        <w:tabs>
          <w:tab w:val="right" w:pos="426"/>
        </w:tabs>
        <w:spacing w:before="360" w:line="276" w:lineRule="auto"/>
        <w:jc w:val="lowKashida"/>
        <w:rPr>
          <w:rFonts w:asciiTheme="majorBidi" w:hAnsiTheme="majorBidi" w:cstheme="majorBidi"/>
          <w:b/>
          <w:bCs/>
          <w:sz w:val="22"/>
          <w:lang w:bidi="ar-SY"/>
        </w:rPr>
      </w:pPr>
      <w:bookmarkStart w:id="10" w:name="_Hlk201607011"/>
      <w:r w:rsidRPr="00F10452">
        <w:rPr>
          <w:rFonts w:asciiTheme="majorBidi" w:hAnsiTheme="majorBidi" w:cstheme="majorBidi"/>
          <w:b/>
          <w:bCs/>
          <w:sz w:val="22"/>
          <w:lang w:bidi="ar-SY"/>
        </w:rPr>
        <w:t>Results and Discussion</w:t>
      </w:r>
    </w:p>
    <w:p w14:paraId="2FE91428" w14:textId="0FB28583" w:rsidR="00B743EB" w:rsidRPr="00F10452" w:rsidRDefault="00B743EB" w:rsidP="00B743EB">
      <w:pPr>
        <w:pStyle w:val="ListParagraph"/>
        <w:numPr>
          <w:ilvl w:val="1"/>
          <w:numId w:val="25"/>
        </w:numPr>
        <w:spacing w:before="360" w:line="276" w:lineRule="auto"/>
        <w:jc w:val="lowKashida"/>
        <w:rPr>
          <w:rFonts w:asciiTheme="majorBidi" w:hAnsiTheme="majorBidi" w:cstheme="majorBidi"/>
          <w:b/>
          <w:bCs/>
          <w:sz w:val="22"/>
          <w:lang w:bidi="ar-SY"/>
        </w:rPr>
      </w:pPr>
      <w:r w:rsidRPr="00F10452">
        <w:rPr>
          <w:rFonts w:asciiTheme="majorBidi" w:hAnsiTheme="majorBidi" w:cstheme="majorBidi"/>
          <w:b/>
          <w:bCs/>
          <w:sz w:val="22"/>
          <w:lang w:bidi="ar-SY"/>
        </w:rPr>
        <w:t>Morphology and Size Distribution</w:t>
      </w:r>
    </w:p>
    <w:p w14:paraId="45FA896F" w14:textId="4D999977" w:rsidR="00A23040" w:rsidRPr="00F10452" w:rsidRDefault="00A23040" w:rsidP="001E688D">
      <w:pPr>
        <w:spacing w:before="360"/>
        <w:jc w:val="lowKashida"/>
        <w:rPr>
          <w:rFonts w:asciiTheme="majorBidi" w:hAnsiTheme="majorBidi" w:cstheme="majorBidi"/>
          <w:sz w:val="22"/>
          <w:szCs w:val="22"/>
          <w:lang w:bidi="ar-SY"/>
        </w:rPr>
      </w:pPr>
      <w:r w:rsidRPr="00F10452">
        <w:rPr>
          <w:rFonts w:asciiTheme="majorBidi" w:hAnsiTheme="majorBidi" w:cstheme="majorBidi"/>
          <w:sz w:val="22"/>
          <w:szCs w:val="22"/>
          <w:lang w:bidi="ar-SY"/>
        </w:rPr>
        <w:t xml:space="preserve">A digital optical microscope y was used to prove the spherical shape of the prepared microspheres. It has been observed that the increased concentration of Methotrexate has increased the rough surface of the microspheres compared to the drug-free.   Increased drug concentration of MTX increased microspheres' mean particle size (MPS). An increase in MPS may be a result of the release in viscosity of the droplets present in the internal phase caused by the increase in Methotrexate concentration. MPS of microparticles (300 particles) was determined using an optical microscope with a magnification of (x40) with a calibrated stage micrometer: Table </w:t>
      </w:r>
      <w:r w:rsidR="00D041DC" w:rsidRPr="00F10452">
        <w:rPr>
          <w:rFonts w:asciiTheme="majorBidi" w:hAnsiTheme="majorBidi" w:cstheme="majorBidi"/>
          <w:sz w:val="22"/>
          <w:szCs w:val="22"/>
          <w:lang w:bidi="ar-SY"/>
        </w:rPr>
        <w:t>1 and</w:t>
      </w:r>
      <w:r w:rsidRPr="00F10452">
        <w:rPr>
          <w:rFonts w:asciiTheme="majorBidi" w:hAnsiTheme="majorBidi" w:cstheme="majorBidi"/>
          <w:sz w:val="22"/>
          <w:szCs w:val="22"/>
          <w:lang w:bidi="ar-SY"/>
        </w:rPr>
        <w:t xml:space="preserve"> Figure 2.                </w:t>
      </w:r>
    </w:p>
    <w:p w14:paraId="57D6D60A" w14:textId="12EF82DB" w:rsidR="007018FB" w:rsidRPr="00F10452" w:rsidRDefault="00F10452" w:rsidP="001E688D">
      <w:pPr>
        <w:pStyle w:val="ListParagraph"/>
        <w:spacing w:before="360" w:line="240" w:lineRule="auto"/>
        <w:ind w:left="994" w:hanging="994"/>
        <w:jc w:val="lowKashida"/>
        <w:rPr>
          <w:rFonts w:asciiTheme="majorBidi" w:hAnsiTheme="majorBidi" w:cstheme="majorBidi"/>
          <w:b/>
          <w:bCs/>
          <w:sz w:val="22"/>
          <w:lang w:bidi="ar-SY"/>
        </w:rPr>
      </w:pPr>
      <w:r>
        <w:rPr>
          <w:rFonts w:asciiTheme="majorBidi" w:hAnsiTheme="majorBidi" w:cstheme="majorBidi"/>
          <w:b/>
          <w:bCs/>
          <w:sz w:val="22"/>
          <w:lang w:bidi="ar-SY"/>
        </w:rPr>
        <w:t>Table 1:</w:t>
      </w:r>
      <w:r w:rsidR="007018FB" w:rsidRPr="00F10452">
        <w:rPr>
          <w:rFonts w:asciiTheme="majorBidi" w:hAnsiTheme="majorBidi" w:cstheme="majorBidi"/>
          <w:b/>
          <w:bCs/>
          <w:sz w:val="22"/>
          <w:lang w:bidi="ar-SY"/>
        </w:rPr>
        <w:t xml:space="preserve"> </w:t>
      </w:r>
      <w:r w:rsidR="007018FB" w:rsidRPr="00F10452">
        <w:rPr>
          <w:rFonts w:asciiTheme="majorBidi" w:hAnsiTheme="majorBidi" w:cstheme="majorBidi"/>
          <w:sz w:val="22"/>
          <w:lang w:bidi="ar-SY"/>
        </w:rPr>
        <w:t>Diameters of microspheres estimated in microns and the number of microspheres corresponding to each average dimension for different Methotrexate concentration</w:t>
      </w:r>
    </w:p>
    <w:tbl>
      <w:tblPr>
        <w:tblStyle w:val="PlainTable11"/>
        <w:tblW w:w="0" w:type="auto"/>
        <w:tblLook w:val="04A0" w:firstRow="1" w:lastRow="0" w:firstColumn="1" w:lastColumn="0" w:noHBand="0" w:noVBand="1"/>
      </w:tblPr>
      <w:tblGrid>
        <w:gridCol w:w="1142"/>
        <w:gridCol w:w="1143"/>
        <w:gridCol w:w="905"/>
        <w:gridCol w:w="905"/>
        <w:gridCol w:w="905"/>
      </w:tblGrid>
      <w:tr w:rsidR="007018FB" w:rsidRPr="00F10452" w14:paraId="65C9B9B5" w14:textId="77777777" w:rsidTr="007018FB">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142" w:type="dxa"/>
            <w:vMerge w:val="restart"/>
          </w:tcPr>
          <w:p w14:paraId="67DE136C" w14:textId="77777777" w:rsidR="007018FB" w:rsidRPr="00F10452" w:rsidRDefault="007018FB" w:rsidP="00951B2F">
            <w:pPr>
              <w:pStyle w:val="ListParagraph"/>
              <w:spacing w:before="120" w:after="120" w:line="276" w:lineRule="auto"/>
              <w:ind w:left="0"/>
              <w:jc w:val="center"/>
              <w:rPr>
                <w:rFonts w:asciiTheme="majorBidi" w:hAnsiTheme="majorBidi" w:cstheme="majorBidi"/>
                <w:sz w:val="22"/>
                <w:lang w:bidi="ar-SY"/>
              </w:rPr>
            </w:pPr>
            <w:r w:rsidRPr="00F10452">
              <w:rPr>
                <w:rFonts w:asciiTheme="majorBidi" w:hAnsiTheme="majorBidi" w:cstheme="majorBidi"/>
                <w:sz w:val="22"/>
                <w:lang w:bidi="ar-SY"/>
              </w:rPr>
              <w:t>Particle diameter</w:t>
            </w:r>
          </w:p>
          <w:p w14:paraId="4D9C159D" w14:textId="77777777" w:rsidR="007018FB" w:rsidRPr="00F10452" w:rsidRDefault="007018FB" w:rsidP="00951B2F">
            <w:pPr>
              <w:pStyle w:val="ListParagraph"/>
              <w:spacing w:before="120" w:after="120" w:line="276" w:lineRule="auto"/>
              <w:ind w:left="0"/>
              <w:jc w:val="center"/>
              <w:rPr>
                <w:rFonts w:asciiTheme="majorBidi" w:hAnsiTheme="majorBidi" w:cstheme="majorBidi"/>
                <w:sz w:val="22"/>
                <w:lang w:bidi="ar-SY"/>
              </w:rPr>
            </w:pPr>
            <w:r w:rsidRPr="00F10452">
              <w:rPr>
                <w:rFonts w:asciiTheme="majorBidi" w:hAnsiTheme="majorBidi" w:cstheme="majorBidi"/>
                <w:sz w:val="22"/>
                <w:lang w:bidi="ar-SY"/>
              </w:rPr>
              <w:t>(µm)</w:t>
            </w:r>
          </w:p>
        </w:tc>
        <w:tc>
          <w:tcPr>
            <w:tcW w:w="1143" w:type="dxa"/>
            <w:vMerge w:val="restart"/>
          </w:tcPr>
          <w:p w14:paraId="77F5F9C7" w14:textId="77777777" w:rsidR="007018FB" w:rsidRPr="00F10452" w:rsidRDefault="007018FB" w:rsidP="00951B2F">
            <w:pPr>
              <w:pStyle w:val="ListParagraph"/>
              <w:spacing w:before="120" w:after="12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Mean particle diameter (µm) d</w:t>
            </w:r>
          </w:p>
        </w:tc>
        <w:tc>
          <w:tcPr>
            <w:tcW w:w="2715" w:type="dxa"/>
            <w:gridSpan w:val="3"/>
          </w:tcPr>
          <w:p w14:paraId="327C4E04" w14:textId="77777777" w:rsidR="007018FB" w:rsidRPr="00F10452" w:rsidRDefault="007018FB" w:rsidP="00951B2F">
            <w:pPr>
              <w:pStyle w:val="ListParagraph"/>
              <w:spacing w:before="120" w:after="12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Number of fields examined (n)</w:t>
            </w:r>
          </w:p>
        </w:tc>
      </w:tr>
      <w:tr w:rsidR="007018FB" w:rsidRPr="00F10452" w14:paraId="672F8071" w14:textId="77777777" w:rsidTr="007018F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142" w:type="dxa"/>
            <w:vMerge/>
          </w:tcPr>
          <w:p w14:paraId="06E62ED2" w14:textId="77777777" w:rsidR="007018FB" w:rsidRPr="00F10452" w:rsidRDefault="007018FB" w:rsidP="00951B2F">
            <w:pPr>
              <w:pStyle w:val="ListParagraph"/>
              <w:spacing w:before="120" w:after="120" w:line="276" w:lineRule="auto"/>
              <w:ind w:left="0"/>
              <w:jc w:val="center"/>
              <w:rPr>
                <w:rFonts w:asciiTheme="majorBidi" w:hAnsiTheme="majorBidi" w:cstheme="majorBidi"/>
                <w:sz w:val="22"/>
                <w:lang w:bidi="ar-SY"/>
              </w:rPr>
            </w:pPr>
          </w:p>
        </w:tc>
        <w:tc>
          <w:tcPr>
            <w:tcW w:w="1143" w:type="dxa"/>
            <w:vMerge/>
          </w:tcPr>
          <w:p w14:paraId="479EEE81"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lang w:bidi="ar-SY"/>
              </w:rPr>
            </w:pPr>
          </w:p>
        </w:tc>
        <w:tc>
          <w:tcPr>
            <w:tcW w:w="905" w:type="dxa"/>
          </w:tcPr>
          <w:p w14:paraId="373097E4"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lang w:bidi="ar-SY"/>
              </w:rPr>
            </w:pPr>
            <w:r w:rsidRPr="00F10452">
              <w:rPr>
                <w:rFonts w:asciiTheme="majorBidi" w:hAnsiTheme="majorBidi" w:cstheme="majorBidi"/>
                <w:b/>
                <w:bCs/>
                <w:sz w:val="22"/>
                <w:lang w:bidi="ar-SY"/>
              </w:rPr>
              <w:t>MTX1</w:t>
            </w:r>
          </w:p>
        </w:tc>
        <w:tc>
          <w:tcPr>
            <w:tcW w:w="905" w:type="dxa"/>
          </w:tcPr>
          <w:p w14:paraId="5E3FD52D"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lang w:bidi="ar-SY"/>
              </w:rPr>
            </w:pPr>
            <w:r w:rsidRPr="00F10452">
              <w:rPr>
                <w:rFonts w:asciiTheme="majorBidi" w:hAnsiTheme="majorBidi" w:cstheme="majorBidi"/>
                <w:b/>
                <w:bCs/>
                <w:sz w:val="22"/>
                <w:lang w:bidi="ar-SY"/>
              </w:rPr>
              <w:t>MTX2</w:t>
            </w:r>
          </w:p>
        </w:tc>
        <w:tc>
          <w:tcPr>
            <w:tcW w:w="905" w:type="dxa"/>
          </w:tcPr>
          <w:p w14:paraId="51E206E6"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2"/>
                <w:lang w:bidi="ar-SY"/>
              </w:rPr>
            </w:pPr>
            <w:r w:rsidRPr="00F10452">
              <w:rPr>
                <w:rFonts w:asciiTheme="majorBidi" w:hAnsiTheme="majorBidi" w:cstheme="majorBidi"/>
                <w:b/>
                <w:bCs/>
                <w:sz w:val="22"/>
                <w:lang w:bidi="ar-SY"/>
              </w:rPr>
              <w:t>MTX3</w:t>
            </w:r>
          </w:p>
        </w:tc>
      </w:tr>
      <w:tr w:rsidR="007018FB" w:rsidRPr="00F10452" w14:paraId="1A20DF34" w14:textId="77777777" w:rsidTr="007018FB">
        <w:tc>
          <w:tcPr>
            <w:cnfStyle w:val="001000000000" w:firstRow="0" w:lastRow="0" w:firstColumn="1" w:lastColumn="0" w:oddVBand="0" w:evenVBand="0" w:oddHBand="0" w:evenHBand="0" w:firstRowFirstColumn="0" w:firstRowLastColumn="0" w:lastRowFirstColumn="0" w:lastRowLastColumn="0"/>
            <w:tcW w:w="1142" w:type="dxa"/>
          </w:tcPr>
          <w:p w14:paraId="245F558E"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305-8.5</w:t>
            </w:r>
          </w:p>
        </w:tc>
        <w:tc>
          <w:tcPr>
            <w:tcW w:w="1143" w:type="dxa"/>
          </w:tcPr>
          <w:p w14:paraId="7861EEA4"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6</w:t>
            </w:r>
          </w:p>
        </w:tc>
        <w:tc>
          <w:tcPr>
            <w:tcW w:w="905" w:type="dxa"/>
          </w:tcPr>
          <w:p w14:paraId="600D0369"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0</w:t>
            </w:r>
          </w:p>
        </w:tc>
        <w:tc>
          <w:tcPr>
            <w:tcW w:w="905" w:type="dxa"/>
          </w:tcPr>
          <w:p w14:paraId="6E48BA78"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0</w:t>
            </w:r>
          </w:p>
        </w:tc>
        <w:tc>
          <w:tcPr>
            <w:tcW w:w="905" w:type="dxa"/>
          </w:tcPr>
          <w:p w14:paraId="772679F0"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0</w:t>
            </w:r>
          </w:p>
        </w:tc>
      </w:tr>
      <w:tr w:rsidR="007018FB" w:rsidRPr="00F10452" w14:paraId="29CA2624" w14:textId="77777777" w:rsidTr="00701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A1FA0D5"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8.5-13.5</w:t>
            </w:r>
          </w:p>
        </w:tc>
        <w:tc>
          <w:tcPr>
            <w:tcW w:w="1143" w:type="dxa"/>
          </w:tcPr>
          <w:p w14:paraId="2A6A0E81"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11</w:t>
            </w:r>
          </w:p>
        </w:tc>
        <w:tc>
          <w:tcPr>
            <w:tcW w:w="905" w:type="dxa"/>
          </w:tcPr>
          <w:p w14:paraId="41BB3FE8"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35</w:t>
            </w:r>
          </w:p>
        </w:tc>
        <w:tc>
          <w:tcPr>
            <w:tcW w:w="905" w:type="dxa"/>
          </w:tcPr>
          <w:p w14:paraId="478F8757"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24</w:t>
            </w:r>
          </w:p>
        </w:tc>
        <w:tc>
          <w:tcPr>
            <w:tcW w:w="905" w:type="dxa"/>
          </w:tcPr>
          <w:p w14:paraId="6847E933"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10</w:t>
            </w:r>
          </w:p>
        </w:tc>
      </w:tr>
      <w:tr w:rsidR="007018FB" w:rsidRPr="00F10452" w14:paraId="0F22A238" w14:textId="77777777" w:rsidTr="007018FB">
        <w:tc>
          <w:tcPr>
            <w:cnfStyle w:val="001000000000" w:firstRow="0" w:lastRow="0" w:firstColumn="1" w:lastColumn="0" w:oddVBand="0" w:evenVBand="0" w:oddHBand="0" w:evenHBand="0" w:firstRowFirstColumn="0" w:firstRowLastColumn="0" w:lastRowFirstColumn="0" w:lastRowLastColumn="0"/>
            <w:tcW w:w="1142" w:type="dxa"/>
          </w:tcPr>
          <w:p w14:paraId="4B25FA09"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13.5-18.5</w:t>
            </w:r>
          </w:p>
        </w:tc>
        <w:tc>
          <w:tcPr>
            <w:tcW w:w="1143" w:type="dxa"/>
          </w:tcPr>
          <w:p w14:paraId="0AF605A3"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16</w:t>
            </w:r>
          </w:p>
        </w:tc>
        <w:tc>
          <w:tcPr>
            <w:tcW w:w="905" w:type="dxa"/>
          </w:tcPr>
          <w:p w14:paraId="1B42F3F1"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68</w:t>
            </w:r>
          </w:p>
        </w:tc>
        <w:tc>
          <w:tcPr>
            <w:tcW w:w="905" w:type="dxa"/>
          </w:tcPr>
          <w:p w14:paraId="72952117"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46</w:t>
            </w:r>
          </w:p>
        </w:tc>
        <w:tc>
          <w:tcPr>
            <w:tcW w:w="905" w:type="dxa"/>
          </w:tcPr>
          <w:p w14:paraId="5E236691"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25</w:t>
            </w:r>
          </w:p>
        </w:tc>
      </w:tr>
      <w:tr w:rsidR="007018FB" w:rsidRPr="00F10452" w14:paraId="7C812684" w14:textId="77777777" w:rsidTr="00701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EB5F425"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18.5-23.5</w:t>
            </w:r>
          </w:p>
        </w:tc>
        <w:tc>
          <w:tcPr>
            <w:tcW w:w="1143" w:type="dxa"/>
          </w:tcPr>
          <w:p w14:paraId="6563F2F3"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21</w:t>
            </w:r>
          </w:p>
        </w:tc>
        <w:tc>
          <w:tcPr>
            <w:tcW w:w="905" w:type="dxa"/>
          </w:tcPr>
          <w:p w14:paraId="466C475E"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90</w:t>
            </w:r>
          </w:p>
        </w:tc>
        <w:tc>
          <w:tcPr>
            <w:tcW w:w="905" w:type="dxa"/>
          </w:tcPr>
          <w:p w14:paraId="42FABAFD"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86</w:t>
            </w:r>
          </w:p>
        </w:tc>
        <w:tc>
          <w:tcPr>
            <w:tcW w:w="905" w:type="dxa"/>
          </w:tcPr>
          <w:p w14:paraId="27E44D95"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89</w:t>
            </w:r>
          </w:p>
        </w:tc>
      </w:tr>
      <w:tr w:rsidR="007018FB" w:rsidRPr="00F10452" w14:paraId="7EE5D1F8" w14:textId="77777777" w:rsidTr="007018FB">
        <w:tc>
          <w:tcPr>
            <w:cnfStyle w:val="001000000000" w:firstRow="0" w:lastRow="0" w:firstColumn="1" w:lastColumn="0" w:oddVBand="0" w:evenVBand="0" w:oddHBand="0" w:evenHBand="0" w:firstRowFirstColumn="0" w:firstRowLastColumn="0" w:lastRowFirstColumn="0" w:lastRowLastColumn="0"/>
            <w:tcW w:w="1142" w:type="dxa"/>
          </w:tcPr>
          <w:p w14:paraId="01AF8A8C"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lastRenderedPageBreak/>
              <w:t>23.5-28.5</w:t>
            </w:r>
          </w:p>
        </w:tc>
        <w:tc>
          <w:tcPr>
            <w:tcW w:w="1143" w:type="dxa"/>
          </w:tcPr>
          <w:p w14:paraId="4662C240"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26</w:t>
            </w:r>
          </w:p>
        </w:tc>
        <w:tc>
          <w:tcPr>
            <w:tcW w:w="905" w:type="dxa"/>
          </w:tcPr>
          <w:p w14:paraId="55C2DD3B"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72</w:t>
            </w:r>
          </w:p>
        </w:tc>
        <w:tc>
          <w:tcPr>
            <w:tcW w:w="905" w:type="dxa"/>
          </w:tcPr>
          <w:p w14:paraId="2FADF1F5"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70</w:t>
            </w:r>
          </w:p>
        </w:tc>
        <w:tc>
          <w:tcPr>
            <w:tcW w:w="905" w:type="dxa"/>
          </w:tcPr>
          <w:p w14:paraId="3F280F75"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75</w:t>
            </w:r>
          </w:p>
        </w:tc>
      </w:tr>
      <w:tr w:rsidR="007018FB" w:rsidRPr="00F10452" w14:paraId="284F6E42" w14:textId="77777777" w:rsidTr="00701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51B50876"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28.5-33.5</w:t>
            </w:r>
          </w:p>
        </w:tc>
        <w:tc>
          <w:tcPr>
            <w:tcW w:w="1143" w:type="dxa"/>
          </w:tcPr>
          <w:p w14:paraId="291269F7"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31</w:t>
            </w:r>
          </w:p>
        </w:tc>
        <w:tc>
          <w:tcPr>
            <w:tcW w:w="905" w:type="dxa"/>
          </w:tcPr>
          <w:p w14:paraId="4277ED11"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10</w:t>
            </w:r>
          </w:p>
        </w:tc>
        <w:tc>
          <w:tcPr>
            <w:tcW w:w="905" w:type="dxa"/>
          </w:tcPr>
          <w:p w14:paraId="0DCE71D5"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11</w:t>
            </w:r>
          </w:p>
        </w:tc>
        <w:tc>
          <w:tcPr>
            <w:tcW w:w="905" w:type="dxa"/>
          </w:tcPr>
          <w:p w14:paraId="43F1A4E3"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20</w:t>
            </w:r>
          </w:p>
        </w:tc>
      </w:tr>
      <w:tr w:rsidR="007018FB" w:rsidRPr="00F10452" w14:paraId="3C9A0986" w14:textId="77777777" w:rsidTr="007018FB">
        <w:tc>
          <w:tcPr>
            <w:cnfStyle w:val="001000000000" w:firstRow="0" w:lastRow="0" w:firstColumn="1" w:lastColumn="0" w:oddVBand="0" w:evenVBand="0" w:oddHBand="0" w:evenHBand="0" w:firstRowFirstColumn="0" w:firstRowLastColumn="0" w:lastRowFirstColumn="0" w:lastRowLastColumn="0"/>
            <w:tcW w:w="1142" w:type="dxa"/>
          </w:tcPr>
          <w:p w14:paraId="0A45B2FF"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33.5-38.5</w:t>
            </w:r>
          </w:p>
        </w:tc>
        <w:tc>
          <w:tcPr>
            <w:tcW w:w="1143" w:type="dxa"/>
          </w:tcPr>
          <w:p w14:paraId="2EF08C06"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36</w:t>
            </w:r>
          </w:p>
        </w:tc>
        <w:tc>
          <w:tcPr>
            <w:tcW w:w="905" w:type="dxa"/>
          </w:tcPr>
          <w:p w14:paraId="5D387C2C"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4</w:t>
            </w:r>
          </w:p>
        </w:tc>
        <w:tc>
          <w:tcPr>
            <w:tcW w:w="905" w:type="dxa"/>
          </w:tcPr>
          <w:p w14:paraId="5B009473"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19</w:t>
            </w:r>
          </w:p>
        </w:tc>
        <w:tc>
          <w:tcPr>
            <w:tcW w:w="905" w:type="dxa"/>
          </w:tcPr>
          <w:p w14:paraId="404BF245"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27</w:t>
            </w:r>
          </w:p>
        </w:tc>
      </w:tr>
      <w:tr w:rsidR="007018FB" w:rsidRPr="00F10452" w14:paraId="1FC25546" w14:textId="77777777" w:rsidTr="00701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C6C25F4"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38.5-43.5</w:t>
            </w:r>
          </w:p>
        </w:tc>
        <w:tc>
          <w:tcPr>
            <w:tcW w:w="1143" w:type="dxa"/>
          </w:tcPr>
          <w:p w14:paraId="5BF8FE65"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41</w:t>
            </w:r>
          </w:p>
        </w:tc>
        <w:tc>
          <w:tcPr>
            <w:tcW w:w="905" w:type="dxa"/>
          </w:tcPr>
          <w:p w14:paraId="7A445329"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6</w:t>
            </w:r>
          </w:p>
        </w:tc>
        <w:tc>
          <w:tcPr>
            <w:tcW w:w="905" w:type="dxa"/>
          </w:tcPr>
          <w:p w14:paraId="2A37505F"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13</w:t>
            </w:r>
          </w:p>
        </w:tc>
        <w:tc>
          <w:tcPr>
            <w:tcW w:w="905" w:type="dxa"/>
          </w:tcPr>
          <w:p w14:paraId="27130562"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17</w:t>
            </w:r>
          </w:p>
        </w:tc>
      </w:tr>
      <w:tr w:rsidR="007018FB" w:rsidRPr="00F10452" w14:paraId="0B66E2A0" w14:textId="77777777" w:rsidTr="007018FB">
        <w:tc>
          <w:tcPr>
            <w:cnfStyle w:val="001000000000" w:firstRow="0" w:lastRow="0" w:firstColumn="1" w:lastColumn="0" w:oddVBand="0" w:evenVBand="0" w:oddHBand="0" w:evenHBand="0" w:firstRowFirstColumn="0" w:firstRowLastColumn="0" w:lastRowFirstColumn="0" w:lastRowLastColumn="0"/>
            <w:tcW w:w="1142" w:type="dxa"/>
          </w:tcPr>
          <w:p w14:paraId="7D4E1BA5"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43.5-48.5</w:t>
            </w:r>
          </w:p>
        </w:tc>
        <w:tc>
          <w:tcPr>
            <w:tcW w:w="1143" w:type="dxa"/>
          </w:tcPr>
          <w:p w14:paraId="38877224"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46</w:t>
            </w:r>
          </w:p>
        </w:tc>
        <w:tc>
          <w:tcPr>
            <w:tcW w:w="905" w:type="dxa"/>
          </w:tcPr>
          <w:p w14:paraId="3F32A9D1"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9</w:t>
            </w:r>
          </w:p>
        </w:tc>
        <w:tc>
          <w:tcPr>
            <w:tcW w:w="905" w:type="dxa"/>
          </w:tcPr>
          <w:p w14:paraId="15A98F7E"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15</w:t>
            </w:r>
          </w:p>
        </w:tc>
        <w:tc>
          <w:tcPr>
            <w:tcW w:w="905" w:type="dxa"/>
          </w:tcPr>
          <w:p w14:paraId="24F2A313"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26</w:t>
            </w:r>
          </w:p>
        </w:tc>
      </w:tr>
      <w:tr w:rsidR="007018FB" w:rsidRPr="00F10452" w14:paraId="00135706" w14:textId="77777777" w:rsidTr="00701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510DBFC"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48.5-53.5</w:t>
            </w:r>
          </w:p>
        </w:tc>
        <w:tc>
          <w:tcPr>
            <w:tcW w:w="1143" w:type="dxa"/>
          </w:tcPr>
          <w:p w14:paraId="72D40D70"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51</w:t>
            </w:r>
          </w:p>
        </w:tc>
        <w:tc>
          <w:tcPr>
            <w:tcW w:w="905" w:type="dxa"/>
          </w:tcPr>
          <w:p w14:paraId="4C14790C"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6</w:t>
            </w:r>
          </w:p>
        </w:tc>
        <w:tc>
          <w:tcPr>
            <w:tcW w:w="905" w:type="dxa"/>
          </w:tcPr>
          <w:p w14:paraId="4874A8D6"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16</w:t>
            </w:r>
          </w:p>
        </w:tc>
        <w:tc>
          <w:tcPr>
            <w:tcW w:w="905" w:type="dxa"/>
          </w:tcPr>
          <w:p w14:paraId="3E7DEDAA"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w:r w:rsidRPr="00F10452">
              <w:rPr>
                <w:rFonts w:asciiTheme="majorBidi" w:hAnsiTheme="majorBidi" w:cstheme="majorBidi"/>
                <w:sz w:val="22"/>
                <w:lang w:bidi="ar-SY"/>
              </w:rPr>
              <w:t>11</w:t>
            </w:r>
          </w:p>
        </w:tc>
      </w:tr>
      <w:tr w:rsidR="007018FB" w:rsidRPr="00F10452" w14:paraId="4B89DBC9" w14:textId="77777777" w:rsidTr="007018FB">
        <w:tc>
          <w:tcPr>
            <w:cnfStyle w:val="001000000000" w:firstRow="0" w:lastRow="0" w:firstColumn="1" w:lastColumn="0" w:oddVBand="0" w:evenVBand="0" w:oddHBand="0" w:evenHBand="0" w:firstRowFirstColumn="0" w:firstRowLastColumn="0" w:lastRowFirstColumn="0" w:lastRowLastColumn="0"/>
            <w:tcW w:w="1142" w:type="dxa"/>
          </w:tcPr>
          <w:p w14:paraId="00FE2081"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p>
        </w:tc>
        <w:tc>
          <w:tcPr>
            <w:tcW w:w="1143" w:type="dxa"/>
          </w:tcPr>
          <w:p w14:paraId="3031A57F"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w:p>
        </w:tc>
        <w:tc>
          <w:tcPr>
            <w:tcW w:w="905" w:type="dxa"/>
          </w:tcPr>
          <w:p w14:paraId="7BA6B5D8" w14:textId="77777777" w:rsidR="007018FB" w:rsidRPr="00F10452" w:rsidRDefault="00E07747"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m:oMathPara>
              <m:oMath>
                <m:nary>
                  <m:naryPr>
                    <m:chr m:val="∑"/>
                    <m:limLoc m:val="undOvr"/>
                    <m:subHide m:val="1"/>
                    <m:supHide m:val="1"/>
                    <m:ctrlPr>
                      <w:rPr>
                        <w:rFonts w:ascii="Cambria Math" w:hAnsi="Cambria Math" w:cstheme="majorBidi"/>
                        <w:i/>
                        <w:sz w:val="22"/>
                        <w:lang w:bidi="ar-SY"/>
                      </w:rPr>
                    </m:ctrlPr>
                  </m:naryPr>
                  <m:sub/>
                  <m:sup/>
                  <m:e>
                    <m:r>
                      <w:rPr>
                        <w:rFonts w:ascii="Cambria Math" w:hAnsi="Cambria Math" w:cstheme="majorBidi"/>
                        <w:sz w:val="22"/>
                        <w:lang w:bidi="ar-SY"/>
                      </w:rPr>
                      <m:t>n=300</m:t>
                    </m:r>
                  </m:e>
                </m:nary>
              </m:oMath>
            </m:oMathPara>
          </w:p>
        </w:tc>
        <w:tc>
          <w:tcPr>
            <w:tcW w:w="905" w:type="dxa"/>
          </w:tcPr>
          <w:p w14:paraId="459B1149" w14:textId="77777777" w:rsidR="007018FB" w:rsidRPr="00F10452" w:rsidRDefault="00E07747"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m:oMathPara>
              <m:oMath>
                <m:nary>
                  <m:naryPr>
                    <m:chr m:val="∑"/>
                    <m:limLoc m:val="undOvr"/>
                    <m:subHide m:val="1"/>
                    <m:supHide m:val="1"/>
                    <m:ctrlPr>
                      <w:rPr>
                        <w:rFonts w:ascii="Cambria Math" w:hAnsi="Cambria Math" w:cstheme="majorBidi"/>
                        <w:i/>
                        <w:sz w:val="22"/>
                        <w:lang w:bidi="ar-SY"/>
                      </w:rPr>
                    </m:ctrlPr>
                  </m:naryPr>
                  <m:sub/>
                  <m:sup/>
                  <m:e>
                    <m:r>
                      <w:rPr>
                        <w:rFonts w:ascii="Cambria Math" w:hAnsi="Cambria Math" w:cstheme="majorBidi"/>
                        <w:sz w:val="22"/>
                        <w:lang w:bidi="ar-SY"/>
                      </w:rPr>
                      <m:t>n=300</m:t>
                    </m:r>
                  </m:e>
                </m:nary>
              </m:oMath>
            </m:oMathPara>
          </w:p>
        </w:tc>
        <w:tc>
          <w:tcPr>
            <w:tcW w:w="905" w:type="dxa"/>
          </w:tcPr>
          <w:p w14:paraId="68F2F40F" w14:textId="77777777" w:rsidR="007018FB" w:rsidRPr="00F10452" w:rsidRDefault="00E07747"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m:oMathPara>
              <m:oMath>
                <m:nary>
                  <m:naryPr>
                    <m:chr m:val="∑"/>
                    <m:limLoc m:val="undOvr"/>
                    <m:subHide m:val="1"/>
                    <m:supHide m:val="1"/>
                    <m:ctrlPr>
                      <w:rPr>
                        <w:rFonts w:ascii="Cambria Math" w:hAnsi="Cambria Math" w:cstheme="majorBidi"/>
                        <w:i/>
                        <w:sz w:val="22"/>
                        <w:lang w:bidi="ar-SY"/>
                      </w:rPr>
                    </m:ctrlPr>
                  </m:naryPr>
                  <m:sub/>
                  <m:sup/>
                  <m:e>
                    <m:r>
                      <w:rPr>
                        <w:rFonts w:ascii="Cambria Math" w:hAnsi="Cambria Math" w:cstheme="majorBidi"/>
                        <w:sz w:val="22"/>
                        <w:lang w:bidi="ar-SY"/>
                      </w:rPr>
                      <m:t>n=300</m:t>
                    </m:r>
                  </m:e>
                </m:nary>
              </m:oMath>
            </m:oMathPara>
          </w:p>
        </w:tc>
      </w:tr>
      <w:tr w:rsidR="007018FB" w:rsidRPr="00F10452" w14:paraId="31F31FC5" w14:textId="77777777" w:rsidTr="00701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2C17CEC"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p>
        </w:tc>
        <w:tc>
          <w:tcPr>
            <w:tcW w:w="1143" w:type="dxa"/>
          </w:tcPr>
          <w:p w14:paraId="53E22779" w14:textId="77777777" w:rsidR="007018FB" w:rsidRPr="00F10452" w:rsidRDefault="00E07747"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lang w:bidi="ar-SY"/>
              </w:rPr>
            </w:pPr>
            <m:oMathPara>
              <m:oMath>
                <m:nary>
                  <m:naryPr>
                    <m:chr m:val="∑"/>
                    <m:limLoc m:val="undOvr"/>
                    <m:subHide m:val="1"/>
                    <m:supHide m:val="1"/>
                    <m:ctrlPr>
                      <w:rPr>
                        <w:rFonts w:ascii="Cambria Math" w:hAnsi="Cambria Math" w:cstheme="majorBidi"/>
                        <w:i/>
                        <w:sz w:val="22"/>
                        <w:lang w:bidi="ar-SY"/>
                      </w:rPr>
                    </m:ctrlPr>
                  </m:naryPr>
                  <m:sub/>
                  <m:sup/>
                  <m:e>
                    <m:r>
                      <w:rPr>
                        <w:rFonts w:ascii="Cambria Math" w:hAnsi="Cambria Math" w:cstheme="majorBidi"/>
                        <w:sz w:val="22"/>
                        <w:lang w:bidi="ar-SY"/>
                      </w:rPr>
                      <m:t>nd</m:t>
                    </m:r>
                  </m:e>
                </m:nary>
              </m:oMath>
            </m:oMathPara>
          </w:p>
        </w:tc>
        <w:tc>
          <w:tcPr>
            <w:tcW w:w="905" w:type="dxa"/>
          </w:tcPr>
          <w:p w14:paraId="26114093"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bidi="ar-SY"/>
              </w:rPr>
            </w:pPr>
            <w:r w:rsidRPr="00F10452">
              <w:rPr>
                <w:rFonts w:ascii="Times New Roman" w:hAnsi="Times New Roman" w:cs="Times New Roman"/>
                <w:sz w:val="22"/>
                <w:lang w:bidi="ar-SY"/>
              </w:rPr>
              <w:t>6655</w:t>
            </w:r>
          </w:p>
        </w:tc>
        <w:tc>
          <w:tcPr>
            <w:tcW w:w="905" w:type="dxa"/>
          </w:tcPr>
          <w:p w14:paraId="7EE71C4B"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bidi="ar-SY"/>
              </w:rPr>
            </w:pPr>
            <w:r w:rsidRPr="00F10452">
              <w:rPr>
                <w:rFonts w:ascii="Times New Roman" w:hAnsi="Times New Roman" w:cs="Times New Roman"/>
                <w:sz w:val="22"/>
                <w:lang w:bidi="ar-SY"/>
              </w:rPr>
              <w:t>7690</w:t>
            </w:r>
          </w:p>
        </w:tc>
        <w:tc>
          <w:tcPr>
            <w:tcW w:w="905" w:type="dxa"/>
          </w:tcPr>
          <w:p w14:paraId="033561BC" w14:textId="77777777" w:rsidR="007018FB" w:rsidRPr="00F10452" w:rsidRDefault="007018FB" w:rsidP="00951B2F">
            <w:pPr>
              <w:pStyle w:val="ListParagraph"/>
              <w:spacing w:before="120" w:after="120"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bidi="ar-SY"/>
              </w:rPr>
            </w:pPr>
            <w:r w:rsidRPr="00F10452">
              <w:rPr>
                <w:rFonts w:ascii="Times New Roman" w:hAnsi="Times New Roman" w:cs="Times New Roman"/>
                <w:sz w:val="22"/>
                <w:lang w:bidi="ar-SY"/>
              </w:rPr>
              <w:t>8375</w:t>
            </w:r>
          </w:p>
        </w:tc>
      </w:tr>
      <w:tr w:rsidR="007018FB" w:rsidRPr="00F10452" w14:paraId="7CF0040A" w14:textId="77777777" w:rsidTr="007018FB">
        <w:tc>
          <w:tcPr>
            <w:cnfStyle w:val="001000000000" w:firstRow="0" w:lastRow="0" w:firstColumn="1" w:lastColumn="0" w:oddVBand="0" w:evenVBand="0" w:oddHBand="0" w:evenHBand="0" w:firstRowFirstColumn="0" w:firstRowLastColumn="0" w:lastRowFirstColumn="0" w:lastRowLastColumn="0"/>
            <w:tcW w:w="1142" w:type="dxa"/>
          </w:tcPr>
          <w:p w14:paraId="5716A46E" w14:textId="77777777" w:rsidR="007018FB" w:rsidRPr="00F10452" w:rsidRDefault="007018FB" w:rsidP="00951B2F">
            <w:pPr>
              <w:pStyle w:val="ListParagraph"/>
              <w:spacing w:before="120" w:after="120" w:line="276" w:lineRule="auto"/>
              <w:ind w:left="0"/>
              <w:jc w:val="center"/>
              <w:rPr>
                <w:rFonts w:asciiTheme="majorBidi" w:hAnsiTheme="majorBidi" w:cstheme="majorBidi"/>
                <w:b w:val="0"/>
                <w:bCs w:val="0"/>
                <w:sz w:val="22"/>
                <w:lang w:bidi="ar-SY"/>
              </w:rPr>
            </w:pPr>
            <w:r w:rsidRPr="00F10452">
              <w:rPr>
                <w:rFonts w:asciiTheme="majorBidi" w:hAnsiTheme="majorBidi" w:cstheme="majorBidi"/>
                <w:b w:val="0"/>
                <w:bCs w:val="0"/>
                <w:sz w:val="22"/>
                <w:lang w:bidi="ar-SY"/>
              </w:rPr>
              <w:t>Mean particle diameter</w:t>
            </w:r>
          </w:p>
        </w:tc>
        <w:tc>
          <w:tcPr>
            <w:tcW w:w="1143" w:type="dxa"/>
          </w:tcPr>
          <w:p w14:paraId="1AAEF4F8" w14:textId="77777777" w:rsidR="007018FB" w:rsidRPr="00F10452" w:rsidRDefault="00E07747"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lang w:bidi="ar-SY"/>
              </w:rPr>
            </w:pPr>
            <m:oMathPara>
              <m:oMath>
                <m:nary>
                  <m:naryPr>
                    <m:chr m:val="∑"/>
                    <m:limLoc m:val="undOvr"/>
                    <m:subHide m:val="1"/>
                    <m:supHide m:val="1"/>
                    <m:ctrlPr>
                      <w:rPr>
                        <w:rFonts w:ascii="Cambria Math" w:hAnsi="Cambria Math" w:cstheme="majorBidi"/>
                        <w:i/>
                        <w:sz w:val="22"/>
                        <w:lang w:bidi="ar-SY"/>
                      </w:rPr>
                    </m:ctrlPr>
                  </m:naryPr>
                  <m:sub/>
                  <m:sup/>
                  <m:e>
                    <m:r>
                      <w:rPr>
                        <w:rFonts w:ascii="Cambria Math" w:hAnsi="Cambria Math" w:cstheme="majorBidi"/>
                        <w:sz w:val="22"/>
                        <w:lang w:bidi="ar-SY"/>
                      </w:rPr>
                      <m:t xml:space="preserve">nd /  </m:t>
                    </m:r>
                    <m:nary>
                      <m:naryPr>
                        <m:chr m:val="∑"/>
                        <m:limLoc m:val="undOvr"/>
                        <m:subHide m:val="1"/>
                        <m:supHide m:val="1"/>
                        <m:ctrlPr>
                          <w:rPr>
                            <w:rFonts w:ascii="Cambria Math" w:hAnsi="Cambria Math" w:cstheme="majorBidi"/>
                            <w:i/>
                            <w:sz w:val="22"/>
                            <w:lang w:bidi="ar-SY"/>
                          </w:rPr>
                        </m:ctrlPr>
                      </m:naryPr>
                      <m:sub/>
                      <m:sup/>
                      <m:e>
                        <m:r>
                          <w:rPr>
                            <w:rFonts w:ascii="Cambria Math" w:hAnsi="Cambria Math" w:cstheme="majorBidi"/>
                            <w:sz w:val="22"/>
                            <w:lang w:bidi="ar-SY"/>
                          </w:rPr>
                          <m:t>n</m:t>
                        </m:r>
                      </m:e>
                    </m:nary>
                  </m:e>
                </m:nary>
              </m:oMath>
            </m:oMathPara>
          </w:p>
        </w:tc>
        <w:tc>
          <w:tcPr>
            <w:tcW w:w="905" w:type="dxa"/>
          </w:tcPr>
          <w:p w14:paraId="44F87BE0"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bidi="ar-SY"/>
              </w:rPr>
            </w:pPr>
            <w:r w:rsidRPr="00F10452">
              <w:rPr>
                <w:rFonts w:ascii="Times New Roman" w:hAnsi="Times New Roman" w:cs="Times New Roman"/>
                <w:sz w:val="22"/>
                <w:lang w:bidi="ar-SY"/>
              </w:rPr>
              <w:t>22.18</w:t>
            </w:r>
          </w:p>
        </w:tc>
        <w:tc>
          <w:tcPr>
            <w:tcW w:w="905" w:type="dxa"/>
          </w:tcPr>
          <w:p w14:paraId="0BB5198B"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bidi="ar-SY"/>
              </w:rPr>
            </w:pPr>
            <w:r w:rsidRPr="00F10452">
              <w:rPr>
                <w:rFonts w:ascii="Times New Roman" w:hAnsi="Times New Roman" w:cs="Times New Roman"/>
                <w:sz w:val="22"/>
                <w:lang w:bidi="ar-SY"/>
              </w:rPr>
              <w:t>25.63</w:t>
            </w:r>
          </w:p>
        </w:tc>
        <w:tc>
          <w:tcPr>
            <w:tcW w:w="905" w:type="dxa"/>
          </w:tcPr>
          <w:p w14:paraId="3DA1A2D1" w14:textId="77777777" w:rsidR="007018FB" w:rsidRPr="00F10452" w:rsidRDefault="007018FB" w:rsidP="00951B2F">
            <w:pPr>
              <w:pStyle w:val="ListParagraph"/>
              <w:spacing w:before="120" w:after="120"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bidi="ar-SY"/>
              </w:rPr>
            </w:pPr>
            <w:r w:rsidRPr="00F10452">
              <w:rPr>
                <w:rFonts w:ascii="Times New Roman" w:hAnsi="Times New Roman" w:cs="Times New Roman"/>
                <w:sz w:val="22"/>
                <w:lang w:bidi="ar-SY"/>
              </w:rPr>
              <w:t>27.91</w:t>
            </w:r>
          </w:p>
        </w:tc>
      </w:tr>
    </w:tbl>
    <w:p w14:paraId="091FAD05" w14:textId="6F9E9B11" w:rsidR="00A23040" w:rsidRPr="00F10452" w:rsidRDefault="007018FB" w:rsidP="00687420">
      <w:pPr>
        <w:spacing w:before="360"/>
        <w:ind w:left="144"/>
        <w:jc w:val="lowKashida"/>
        <w:rPr>
          <w:rFonts w:asciiTheme="majorBidi" w:hAnsiTheme="majorBidi" w:cstheme="majorBidi"/>
          <w:sz w:val="22"/>
          <w:szCs w:val="22"/>
          <w:lang w:bidi="ar-SY"/>
        </w:rPr>
      </w:pPr>
      <w:r w:rsidRPr="00F10452">
        <w:rPr>
          <w:rFonts w:asciiTheme="majorBidi" w:hAnsiTheme="majorBidi" w:cstheme="majorBidi"/>
          <w:sz w:val="22"/>
          <w:szCs w:val="22"/>
          <w:lang w:bidi="ar-SY"/>
        </w:rPr>
        <w:t>According to the data of the above table, the mean particle diameter of the Methotrexate microspheres was 22.18, 25.63, and 27.91 for formulations MTX1, MTX2, and MTX3, respectively.</w:t>
      </w:r>
    </w:p>
    <w:p w14:paraId="32AFD430" w14:textId="4CFAC66C" w:rsidR="007018FB" w:rsidRDefault="007018FB" w:rsidP="00A23040">
      <w:pPr>
        <w:spacing w:before="360" w:line="276" w:lineRule="auto"/>
        <w:ind w:left="142"/>
        <w:jc w:val="lowKashida"/>
        <w:rPr>
          <w:rFonts w:asciiTheme="majorBidi" w:hAnsiTheme="majorBidi" w:cstheme="majorBidi"/>
          <w:lang w:bidi="ar-SY"/>
        </w:rPr>
      </w:pPr>
      <w:r>
        <w:rPr>
          <w:rFonts w:asciiTheme="majorBidi" w:hAnsiTheme="majorBidi" w:cstheme="majorBidi"/>
          <w:noProof/>
        </w:rPr>
        <w:drawing>
          <wp:inline distT="0" distB="0" distL="0" distR="0" wp14:anchorId="58E6C3C9" wp14:editId="3B45BBE5">
            <wp:extent cx="2868696" cy="1765738"/>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9460" cy="1790829"/>
                    </a:xfrm>
                    <a:prstGeom prst="rect">
                      <a:avLst/>
                    </a:prstGeom>
                    <a:noFill/>
                  </pic:spPr>
                </pic:pic>
              </a:graphicData>
            </a:graphic>
          </wp:inline>
        </w:drawing>
      </w:r>
    </w:p>
    <w:p w14:paraId="6FFDDAB6" w14:textId="26A61801" w:rsidR="007018FB" w:rsidRPr="007018FB" w:rsidRDefault="007018FB" w:rsidP="00156240">
      <w:pPr>
        <w:ind w:left="990" w:hanging="900"/>
        <w:jc w:val="both"/>
        <w:rPr>
          <w:rFonts w:eastAsia="Calibri"/>
          <w:sz w:val="20"/>
          <w:szCs w:val="20"/>
          <w:lang w:val="tr-TR" w:eastAsia="zh-CN" w:bidi="fa-IR"/>
        </w:rPr>
      </w:pPr>
      <w:r w:rsidRPr="007018FB">
        <w:rPr>
          <w:rFonts w:eastAsia="Calibri"/>
          <w:b/>
          <w:bCs/>
          <w:sz w:val="20"/>
          <w:szCs w:val="20"/>
          <w:lang w:val="tr-TR" w:eastAsia="zh-CN" w:bidi="fa-IR"/>
        </w:rPr>
        <w:t>Figure 2</w:t>
      </w:r>
      <w:r w:rsidR="00156240">
        <w:rPr>
          <w:rFonts w:eastAsia="Calibri"/>
          <w:b/>
          <w:bCs/>
          <w:sz w:val="20"/>
          <w:szCs w:val="20"/>
          <w:lang w:val="tr-TR" w:eastAsia="zh-CN" w:bidi="fa-IR"/>
        </w:rPr>
        <w:t>:</w:t>
      </w:r>
      <w:r w:rsidRPr="007018FB">
        <w:rPr>
          <w:rFonts w:eastAsia="Calibri"/>
          <w:sz w:val="20"/>
          <w:szCs w:val="20"/>
          <w:lang w:val="tr-TR" w:eastAsia="zh-CN" w:bidi="fa-IR"/>
        </w:rPr>
        <w:t xml:space="preserve"> The curve of the distribution of dimensions of Methotrexate microspheres</w:t>
      </w:r>
    </w:p>
    <w:p w14:paraId="717D723D" w14:textId="2A5958D9" w:rsidR="007018FB" w:rsidRPr="005A09DA" w:rsidRDefault="007018FB" w:rsidP="009065C1">
      <w:pPr>
        <w:pStyle w:val="ListParagraph"/>
        <w:numPr>
          <w:ilvl w:val="1"/>
          <w:numId w:val="26"/>
        </w:numPr>
        <w:spacing w:before="360" w:line="276" w:lineRule="auto"/>
        <w:jc w:val="lowKashida"/>
        <w:rPr>
          <w:rFonts w:asciiTheme="majorBidi" w:hAnsiTheme="majorBidi" w:cstheme="majorBidi"/>
          <w:b/>
          <w:bCs/>
          <w:sz w:val="22"/>
          <w:lang w:bidi="ar-SY"/>
        </w:rPr>
      </w:pPr>
      <w:r w:rsidRPr="005A09DA">
        <w:rPr>
          <w:rFonts w:asciiTheme="majorBidi" w:hAnsiTheme="majorBidi" w:cstheme="majorBidi"/>
          <w:b/>
          <w:bCs/>
          <w:sz w:val="22"/>
          <w:lang w:bidi="ar-SY"/>
        </w:rPr>
        <w:t>Characterization of scaffolds</w:t>
      </w:r>
    </w:p>
    <w:p w14:paraId="6F9740AB" w14:textId="4744DCB6" w:rsidR="007018FB" w:rsidRPr="005A09DA" w:rsidRDefault="007018FB" w:rsidP="007018FB">
      <w:pPr>
        <w:pStyle w:val="ListParagraph"/>
        <w:numPr>
          <w:ilvl w:val="2"/>
          <w:numId w:val="26"/>
        </w:numPr>
        <w:spacing w:before="360" w:line="276" w:lineRule="auto"/>
        <w:jc w:val="lowKashida"/>
        <w:rPr>
          <w:rFonts w:asciiTheme="majorBidi" w:hAnsiTheme="majorBidi" w:cstheme="majorBidi"/>
          <w:b/>
          <w:bCs/>
          <w:sz w:val="22"/>
          <w:lang w:bidi="ar-SY"/>
        </w:rPr>
      </w:pPr>
      <w:r w:rsidRPr="005A09DA">
        <w:rPr>
          <w:rFonts w:asciiTheme="majorBidi" w:hAnsiTheme="majorBidi" w:cstheme="majorBidi"/>
          <w:b/>
          <w:bCs/>
          <w:sz w:val="22"/>
          <w:lang w:bidi="ar-SY"/>
        </w:rPr>
        <w:t>FTIR Analysis</w:t>
      </w:r>
    </w:p>
    <w:p w14:paraId="5D3D3C4C" w14:textId="73FE45FE" w:rsidR="007018FB" w:rsidRDefault="007018FB" w:rsidP="007018FB">
      <w:pPr>
        <w:pStyle w:val="ListParagraph"/>
        <w:spacing w:before="360" w:line="276" w:lineRule="auto"/>
        <w:ind w:left="860"/>
        <w:jc w:val="lowKashida"/>
        <w:rPr>
          <w:rFonts w:asciiTheme="majorBidi" w:hAnsiTheme="majorBidi" w:cstheme="majorBidi"/>
          <w:b/>
          <w:bCs/>
          <w:lang w:bidi="ar-SY"/>
        </w:rPr>
      </w:pPr>
    </w:p>
    <w:p w14:paraId="1D80DF2B" w14:textId="52EEDF11" w:rsidR="007018FB" w:rsidRPr="007018FB" w:rsidRDefault="007018FB" w:rsidP="00C229F4">
      <w:pPr>
        <w:pStyle w:val="ListParagraph"/>
        <w:spacing w:before="360" w:line="240" w:lineRule="auto"/>
        <w:ind w:left="0"/>
        <w:jc w:val="both"/>
        <w:rPr>
          <w:rFonts w:eastAsia="Times New Roman"/>
          <w:sz w:val="22"/>
          <w:lang w:bidi="ar-IQ"/>
        </w:rPr>
      </w:pPr>
      <w:r w:rsidRPr="007018FB">
        <w:rPr>
          <w:rFonts w:eastAsia="Times New Roman"/>
          <w:sz w:val="22"/>
          <w:lang w:bidi="ar-IQ"/>
        </w:rPr>
        <w:t>We used Fourier-transform infrared (FTIR) spectroscopy to analyze the chemical composition and functional groups in our prepared scaffolds. Figure 3 presents the FTIR spectrum of the microsphere, while Figure 4 shows the spectrum of the hexamethylene diisocyanate scaffold.</w:t>
      </w:r>
      <w:r w:rsidR="00687420">
        <w:rPr>
          <w:rFonts w:eastAsia="Times New Roman"/>
          <w:sz w:val="22"/>
          <w:lang w:bidi="ar-IQ"/>
        </w:rPr>
        <w:t xml:space="preserve"> </w:t>
      </w:r>
      <w:r w:rsidRPr="007018FB">
        <w:rPr>
          <w:rFonts w:eastAsia="Times New Roman"/>
          <w:sz w:val="22"/>
          <w:lang w:bidi="ar-IQ"/>
        </w:rPr>
        <w:t xml:space="preserve">Examining Figure 3, which illustrates the spectrum of the microsphere, we observe several characteristic peaks. Notable peaks appear at 1007.78 cm⁻¹ and 1207 cm⁻¹, which we attribute to C-O stretching in ether or ester groups. Another significant peak at 1264 cm⁻¹ likely corresponds to C-N bending in amide or amine groups. We noted peaks at 1429 cm⁻¹ and 1479 cm⁻¹, which we </w:t>
      </w:r>
      <w:r w:rsidRPr="007018FB">
        <w:rPr>
          <w:rFonts w:eastAsia="Times New Roman"/>
          <w:sz w:val="22"/>
          <w:lang w:bidi="ar-IQ"/>
        </w:rPr>
        <w:lastRenderedPageBreak/>
        <w:t>associate with C-H bending in methyl or methylene groups. Two peaks at 1609 cm⁻¹ and 1665 cm⁻¹ caught our attention, and we believe these are due to N-H bending and C=O stretching in amide groups, respectively. The spectrum also shows peaks at 2856 cm⁻¹ and 2923 cm⁻¹, which we attribute to C-H stretching in methyl or methylene groups, we observed a broad peak at 3406 cm⁻¹, indicative of N-H stretching in amine or amide groups.</w:t>
      </w:r>
    </w:p>
    <w:p w14:paraId="4EC6E86D" w14:textId="5A76050A" w:rsidR="007018FB" w:rsidRPr="007018FB" w:rsidRDefault="007018FB" w:rsidP="00687420">
      <w:pPr>
        <w:pStyle w:val="ListParagraph"/>
        <w:spacing w:before="360" w:line="276" w:lineRule="auto"/>
        <w:ind w:left="180"/>
        <w:jc w:val="lowKashida"/>
        <w:rPr>
          <w:rFonts w:eastAsia="Times New Roman"/>
          <w:sz w:val="22"/>
          <w:lang w:bidi="ar-IQ"/>
        </w:rPr>
      </w:pPr>
      <w:r>
        <w:rPr>
          <w:rFonts w:eastAsia="Times New Roman"/>
          <w:noProof/>
          <w:sz w:val="22"/>
        </w:rPr>
        <w:drawing>
          <wp:inline distT="0" distB="0" distL="0" distR="0" wp14:anchorId="1A5216EA" wp14:editId="0F8130A9">
            <wp:extent cx="2881036" cy="15551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1846" cy="1566348"/>
                    </a:xfrm>
                    <a:prstGeom prst="rect">
                      <a:avLst/>
                    </a:prstGeom>
                    <a:noFill/>
                  </pic:spPr>
                </pic:pic>
              </a:graphicData>
            </a:graphic>
          </wp:inline>
        </w:drawing>
      </w:r>
    </w:p>
    <w:p w14:paraId="72249F51" w14:textId="6F0F23D8" w:rsidR="007018FB" w:rsidRPr="007018FB" w:rsidRDefault="00687420" w:rsidP="007018FB">
      <w:pPr>
        <w:jc w:val="both"/>
        <w:rPr>
          <w:rFonts w:eastAsia="Calibri"/>
          <w:sz w:val="20"/>
          <w:szCs w:val="20"/>
          <w:lang w:val="tr-TR" w:eastAsia="zh-CN" w:bidi="fa-IR"/>
        </w:rPr>
      </w:pPr>
      <w:r>
        <w:rPr>
          <w:rFonts w:eastAsia="Calibri"/>
          <w:b/>
          <w:bCs/>
          <w:sz w:val="20"/>
          <w:szCs w:val="20"/>
          <w:lang w:val="tr-TR" w:eastAsia="zh-CN" w:bidi="fa-IR"/>
        </w:rPr>
        <w:t xml:space="preserve">         </w:t>
      </w:r>
      <w:r w:rsidR="007018FB">
        <w:rPr>
          <w:rFonts w:eastAsia="Calibri"/>
          <w:b/>
          <w:bCs/>
          <w:sz w:val="20"/>
          <w:szCs w:val="20"/>
          <w:lang w:val="tr-TR" w:eastAsia="zh-CN" w:bidi="fa-IR"/>
        </w:rPr>
        <w:t xml:space="preserve"> </w:t>
      </w:r>
      <w:r w:rsidR="007018FB" w:rsidRPr="007018FB">
        <w:rPr>
          <w:rFonts w:eastAsia="Calibri"/>
          <w:b/>
          <w:bCs/>
          <w:sz w:val="20"/>
          <w:szCs w:val="20"/>
          <w:lang w:val="tr-TR" w:eastAsia="zh-CN" w:bidi="fa-IR"/>
        </w:rPr>
        <w:t xml:space="preserve">Figure 3: </w:t>
      </w:r>
      <w:r w:rsidR="007018FB" w:rsidRPr="007018FB">
        <w:rPr>
          <w:rFonts w:eastAsia="Calibri"/>
          <w:sz w:val="20"/>
          <w:szCs w:val="20"/>
          <w:lang w:val="tr-TR" w:eastAsia="zh-CN" w:bidi="fa-IR"/>
        </w:rPr>
        <w:t>The FTIR spectrum of the microsphere</w:t>
      </w:r>
    </w:p>
    <w:p w14:paraId="104B0686" w14:textId="02381470" w:rsidR="00A23040" w:rsidRPr="00687420" w:rsidRDefault="007018FB" w:rsidP="00687420">
      <w:pPr>
        <w:spacing w:before="360"/>
        <w:jc w:val="lowKashida"/>
        <w:rPr>
          <w:rFonts w:asciiTheme="majorBidi" w:hAnsiTheme="majorBidi" w:cstheme="majorBidi"/>
          <w:sz w:val="22"/>
          <w:szCs w:val="22"/>
          <w:lang w:bidi="ar-SY"/>
        </w:rPr>
      </w:pPr>
      <w:r w:rsidRPr="00687420">
        <w:rPr>
          <w:rFonts w:asciiTheme="majorBidi" w:hAnsiTheme="majorBidi" w:cstheme="majorBidi"/>
          <w:sz w:val="22"/>
          <w:szCs w:val="22"/>
          <w:lang w:bidi="ar-SY"/>
        </w:rPr>
        <w:t>Turning to Figure 4, which depicts the spectrum of the hexamethylene diisocyanate scaffold, we note several key features. A peak at 1078 cm⁻¹ is likely due to C-O stretching, while the peak at 1253 cm⁻¹ corresponds to C-N bending. The peak at 1457 cm⁻¹ can be attributed to C-H bending in methyl or methylene groups. Interestingly, we found intense peaks at 1572 cm⁻¹ and 1620 cm⁻¹, which we believe are due to N-H bending and C=O stretching in amide groups. A peak at 1730 cm⁻¹ caught our attention, and we think it's related to C=O stretching in isocyanate groups. The spectrum also shows peaks at 2857 cm⁻¹ and 2926 cm⁻¹, associated with C-H stretching in methyl or methylene groups. Lastly, we observed a peak at 3332 cm⁻¹, likely due to N-H stretching in amine or amide groups. These spectral features confirm the successful synthesis of both the microsphere and the hexamethylene diisocyanate scaffold, providing valuable information about their chemical structures and functional groups. The comparison between these two spectra helps us understand the structural changes that occur when the scaffold is incorporated into the microsphere.</w:t>
      </w:r>
    </w:p>
    <w:p w14:paraId="602D88EC" w14:textId="5435A692" w:rsidR="007018FB" w:rsidRDefault="007018FB" w:rsidP="00BD4586">
      <w:pPr>
        <w:pStyle w:val="text"/>
        <w:rPr>
          <w:lang w:bidi="ar-IQ"/>
        </w:rPr>
      </w:pPr>
      <w:r>
        <w:rPr>
          <w:noProof/>
        </w:rPr>
        <w:drawing>
          <wp:inline distT="0" distB="0" distL="0" distR="0" wp14:anchorId="294423EE" wp14:editId="362322B9">
            <wp:extent cx="3119055" cy="170238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3894" cy="1726856"/>
                    </a:xfrm>
                    <a:prstGeom prst="rect">
                      <a:avLst/>
                    </a:prstGeom>
                    <a:noFill/>
                  </pic:spPr>
                </pic:pic>
              </a:graphicData>
            </a:graphic>
          </wp:inline>
        </w:drawing>
      </w:r>
    </w:p>
    <w:p w14:paraId="2D6BDD22" w14:textId="3AB62E84" w:rsidR="007018FB" w:rsidRPr="007018FB" w:rsidRDefault="007018FB" w:rsidP="00C229F4">
      <w:pPr>
        <w:ind w:left="900" w:hanging="900"/>
        <w:jc w:val="both"/>
        <w:rPr>
          <w:rFonts w:eastAsia="Calibri"/>
          <w:sz w:val="20"/>
          <w:szCs w:val="20"/>
          <w:lang w:val="tr-TR" w:eastAsia="zh-CN" w:bidi="fa-IR"/>
        </w:rPr>
      </w:pPr>
      <w:r w:rsidRPr="007018FB">
        <w:rPr>
          <w:rFonts w:eastAsia="Calibri"/>
          <w:b/>
          <w:bCs/>
          <w:sz w:val="20"/>
          <w:szCs w:val="20"/>
          <w:lang w:val="tr-TR" w:eastAsia="zh-CN" w:bidi="fa-IR"/>
        </w:rPr>
        <w:t xml:space="preserve">Figure 4: </w:t>
      </w:r>
      <w:r w:rsidRPr="007018FB">
        <w:rPr>
          <w:rFonts w:eastAsia="Calibri"/>
          <w:sz w:val="20"/>
          <w:szCs w:val="20"/>
          <w:lang w:val="tr-TR" w:eastAsia="zh-CN" w:bidi="fa-IR"/>
        </w:rPr>
        <w:t>The FTIR spectrum of hexamethylene diisocyanate scaffold</w:t>
      </w:r>
    </w:p>
    <w:p w14:paraId="60CD5978" w14:textId="34AAC2A3" w:rsidR="007018FB" w:rsidRPr="005A09DA" w:rsidRDefault="006D520B" w:rsidP="005A09DA">
      <w:pPr>
        <w:pStyle w:val="text"/>
        <w:ind w:firstLine="0"/>
        <w:rPr>
          <w:rFonts w:asciiTheme="majorBidi" w:eastAsia="Calibri" w:hAnsiTheme="majorBidi" w:cstheme="majorBidi"/>
          <w:b/>
          <w:bCs/>
          <w:lang w:bidi="ar-SY"/>
        </w:rPr>
      </w:pPr>
      <w:r w:rsidRPr="005A09DA">
        <w:rPr>
          <w:rFonts w:asciiTheme="majorBidi" w:eastAsia="Calibri" w:hAnsiTheme="majorBidi" w:cstheme="majorBidi"/>
          <w:b/>
          <w:bCs/>
          <w:lang w:bidi="ar-SY"/>
        </w:rPr>
        <w:lastRenderedPageBreak/>
        <w:t>4.2.2. XRD Analysis</w:t>
      </w:r>
    </w:p>
    <w:p w14:paraId="15F9BEBC" w14:textId="77777777" w:rsidR="006D520B" w:rsidRPr="005A09DA" w:rsidRDefault="006D520B" w:rsidP="005A09DA">
      <w:pPr>
        <w:pStyle w:val="text"/>
        <w:ind w:firstLine="0"/>
        <w:rPr>
          <w:rFonts w:asciiTheme="majorBidi" w:eastAsia="Calibri" w:hAnsiTheme="majorBidi" w:cstheme="majorBidi"/>
          <w:b/>
          <w:bCs/>
          <w:lang w:bidi="ar-SY"/>
        </w:rPr>
      </w:pPr>
    </w:p>
    <w:p w14:paraId="108A8033" w14:textId="063B310F" w:rsidR="007018FB" w:rsidRPr="005A09DA" w:rsidRDefault="006D520B" w:rsidP="005A09DA">
      <w:pPr>
        <w:pStyle w:val="text"/>
        <w:ind w:firstLine="0"/>
        <w:rPr>
          <w:rFonts w:asciiTheme="majorBidi" w:hAnsiTheme="majorBidi" w:cstheme="majorBidi"/>
          <w:lang w:bidi="ar-SY"/>
        </w:rPr>
      </w:pPr>
      <w:r w:rsidRPr="005A09DA">
        <w:rPr>
          <w:rFonts w:asciiTheme="majorBidi" w:hAnsiTheme="majorBidi" w:cstheme="majorBidi"/>
          <w:lang w:bidi="ar-SY"/>
        </w:rPr>
        <w:t>The X-ray diffraction XRD analysis to investigate the crystalline structure and phase composition of the prepared scaffolds, and the XRD patterns of the scaffolds are presented in Figure 3. The XRD pattern of the hexamethylene diisocyanate with polyelectrolyte scaffold. The X-ray diffraction (XRD) peak observed at 2θ of 20.66° corresponds to a d-spacing of 4.30 Å, this peak is attributed to the crystalline structure of the polyurethane component resulting from the reaction between hexamethylene diisocyanate and polycaprolactone. The XRD peaks seen at 2θ of 11.69°, 23.48°, and 63.32° indicate the presence of the polyelectrolyte component in the scaffold matrix.</w:t>
      </w:r>
    </w:p>
    <w:p w14:paraId="0DA17AD9" w14:textId="78366EE9" w:rsidR="007018FB" w:rsidRDefault="006D520B" w:rsidP="00BD4586">
      <w:pPr>
        <w:pStyle w:val="text"/>
        <w:rPr>
          <w:lang w:bidi="ar-IQ"/>
        </w:rPr>
      </w:pPr>
      <w:r>
        <w:rPr>
          <w:noProof/>
        </w:rPr>
        <w:drawing>
          <wp:inline distT="0" distB="0" distL="0" distR="0" wp14:anchorId="5B49D2D5" wp14:editId="68AA6AC1">
            <wp:extent cx="2736220" cy="170275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96"/>
                    <a:stretch/>
                  </pic:blipFill>
                  <pic:spPr bwMode="auto">
                    <a:xfrm>
                      <a:off x="0" y="0"/>
                      <a:ext cx="2761378" cy="1718407"/>
                    </a:xfrm>
                    <a:prstGeom prst="rect">
                      <a:avLst/>
                    </a:prstGeom>
                    <a:noFill/>
                    <a:ln>
                      <a:noFill/>
                    </a:ln>
                    <a:extLst>
                      <a:ext uri="{53640926-AAD7-44D8-BBD7-CCE9431645EC}">
                        <a14:shadowObscured xmlns:a14="http://schemas.microsoft.com/office/drawing/2010/main"/>
                      </a:ext>
                    </a:extLst>
                  </pic:spPr>
                </pic:pic>
              </a:graphicData>
            </a:graphic>
          </wp:inline>
        </w:drawing>
      </w:r>
    </w:p>
    <w:p w14:paraId="6BA70438" w14:textId="38CBF202" w:rsidR="007018FB" w:rsidRDefault="006D520B" w:rsidP="005A09DA">
      <w:pPr>
        <w:ind w:left="990" w:hanging="990"/>
        <w:jc w:val="both"/>
        <w:rPr>
          <w:rFonts w:eastAsia="Calibri"/>
          <w:sz w:val="20"/>
          <w:szCs w:val="20"/>
          <w:lang w:val="tr-TR" w:eastAsia="zh-CN" w:bidi="fa-IR"/>
        </w:rPr>
      </w:pPr>
      <w:r w:rsidRPr="006D520B">
        <w:rPr>
          <w:rFonts w:eastAsia="Calibri"/>
          <w:b/>
          <w:bCs/>
          <w:sz w:val="20"/>
          <w:szCs w:val="20"/>
          <w:lang w:val="tr-TR" w:eastAsia="zh-CN" w:bidi="fa-IR"/>
        </w:rPr>
        <w:t xml:space="preserve">Figure 5: </w:t>
      </w:r>
      <w:r w:rsidRPr="006D520B">
        <w:rPr>
          <w:rFonts w:eastAsia="Calibri"/>
          <w:sz w:val="20"/>
          <w:szCs w:val="20"/>
          <w:lang w:val="tr-TR" w:eastAsia="zh-CN" w:bidi="fa-IR"/>
        </w:rPr>
        <w:t>XRD pattern of hexamethylene diisocyanate scaffold</w:t>
      </w:r>
    </w:p>
    <w:p w14:paraId="030FFC30" w14:textId="77777777" w:rsidR="006D520B" w:rsidRPr="006D520B" w:rsidRDefault="006D520B" w:rsidP="006D520B">
      <w:pPr>
        <w:jc w:val="both"/>
        <w:rPr>
          <w:rFonts w:eastAsia="Calibri"/>
          <w:sz w:val="20"/>
          <w:szCs w:val="20"/>
          <w:lang w:val="tr-TR" w:eastAsia="zh-CN" w:bidi="fa-IR"/>
        </w:rPr>
      </w:pPr>
    </w:p>
    <w:p w14:paraId="7F420B1A" w14:textId="6906B2C3" w:rsidR="006D520B" w:rsidRPr="00FA7201" w:rsidRDefault="00FA7201" w:rsidP="00FA7201">
      <w:pPr>
        <w:pStyle w:val="text"/>
        <w:ind w:firstLine="0"/>
        <w:rPr>
          <w:rFonts w:asciiTheme="majorBidi" w:eastAsia="Calibri" w:hAnsiTheme="majorBidi" w:cstheme="majorBidi"/>
          <w:b/>
          <w:bCs/>
          <w:lang w:bidi="ar-SY"/>
        </w:rPr>
      </w:pPr>
      <w:r>
        <w:rPr>
          <w:rFonts w:asciiTheme="majorBidi" w:eastAsia="Calibri" w:hAnsiTheme="majorBidi" w:cstheme="majorBidi"/>
          <w:b/>
          <w:bCs/>
          <w:lang w:bidi="ar-SY"/>
        </w:rPr>
        <w:t xml:space="preserve">4.2.3 </w:t>
      </w:r>
      <w:r w:rsidR="006D520B" w:rsidRPr="00FA7201">
        <w:rPr>
          <w:rFonts w:asciiTheme="majorBidi" w:eastAsia="Calibri" w:hAnsiTheme="majorBidi" w:cstheme="majorBidi"/>
          <w:b/>
          <w:bCs/>
          <w:lang w:bidi="ar-SY"/>
        </w:rPr>
        <w:t>SEM Analysis</w:t>
      </w:r>
    </w:p>
    <w:p w14:paraId="5853FA2E" w14:textId="77777777" w:rsidR="000D5530" w:rsidRDefault="006D520B" w:rsidP="000D5530">
      <w:pPr>
        <w:pStyle w:val="text"/>
        <w:ind w:firstLine="0"/>
        <w:rPr>
          <w:lang w:bidi="ar-IQ"/>
        </w:rPr>
      </w:pPr>
      <w:r w:rsidRPr="00FA7201">
        <w:rPr>
          <w:rFonts w:asciiTheme="majorBidi" w:hAnsiTheme="majorBidi" w:cstheme="majorBidi"/>
          <w:lang w:bidi="ar-SY"/>
        </w:rPr>
        <w:t>The scanning electron microscope (SEM) analysis provided detailed insights into the morphological features and microstructure of the prepared scaffolds. Photomicrographs of the scaffold MTX loaded were taken at various resolutions 150 x  (1 mm), 350 (200 μm),  and 25000 x (3 μm) as shown in Figure 6.</w:t>
      </w:r>
      <w:r w:rsidR="000D5530">
        <w:rPr>
          <w:rFonts w:asciiTheme="majorBidi" w:hAnsiTheme="majorBidi" w:cstheme="majorBidi"/>
          <w:lang w:bidi="ar-SY"/>
        </w:rPr>
        <w:t xml:space="preserve"> </w:t>
      </w:r>
      <w:r w:rsidR="000D5530" w:rsidRPr="006D520B">
        <w:rPr>
          <w:lang w:bidi="ar-IQ"/>
        </w:rPr>
        <w:t xml:space="preserve">The images reveal rough and wrinkled surface topography with interconnected pores and cavities of varying sizes and shapes distributed throughout the scaffold structure, this architecture is well-suited for various applications, including drug administration and tissue engineering, fibrous network with irregular pore sizes and geometries is observed within the scaffold structure, and a highly porous and interconnected architecture is evident, the SEM analysis confirms the successful fabrication of highly porous and interconnected scaffolds with varying pore sizes, geometries, and surface topographies, these structural features facilitate cell infiltration, nutrient transport and tissue integration within the scaffolds. Additionally, they enable efficient drug loading and controlled release, making these scaffolds suitable for drug delivery applications.  </w:t>
      </w:r>
    </w:p>
    <w:p w14:paraId="28B1A42F" w14:textId="77777777" w:rsidR="000D5530" w:rsidRDefault="000D5530" w:rsidP="000D5530">
      <w:pPr>
        <w:pStyle w:val="text"/>
        <w:rPr>
          <w:lang w:bidi="ar-IQ"/>
        </w:rPr>
      </w:pPr>
    </w:p>
    <w:p w14:paraId="76D22720" w14:textId="233C3899" w:rsidR="006D520B" w:rsidRPr="00FA7201" w:rsidRDefault="006D520B" w:rsidP="00FA7201">
      <w:pPr>
        <w:pStyle w:val="text"/>
        <w:ind w:firstLine="0"/>
        <w:rPr>
          <w:rFonts w:asciiTheme="majorBidi" w:hAnsiTheme="majorBidi" w:cstheme="majorBidi"/>
          <w:lang w:bidi="ar-SY"/>
        </w:rPr>
      </w:pPr>
    </w:p>
    <w:p w14:paraId="5017075D" w14:textId="1E82596C" w:rsidR="006D520B" w:rsidRDefault="006D520B" w:rsidP="00BD4586">
      <w:pPr>
        <w:pStyle w:val="text"/>
        <w:rPr>
          <w:rFonts w:asciiTheme="majorBidi" w:hAnsiTheme="majorBidi" w:cstheme="majorBidi"/>
          <w:sz w:val="24"/>
          <w:szCs w:val="24"/>
          <w:lang w:bidi="ar-SY"/>
        </w:rPr>
      </w:pPr>
    </w:p>
    <w:p w14:paraId="09AD4786" w14:textId="7573AE7E" w:rsidR="006D520B" w:rsidRDefault="006D520B" w:rsidP="00BD4586">
      <w:pPr>
        <w:pStyle w:val="text"/>
        <w:rPr>
          <w:rFonts w:asciiTheme="majorBidi" w:hAnsiTheme="majorBidi" w:cstheme="majorBidi"/>
          <w:sz w:val="24"/>
          <w:szCs w:val="24"/>
          <w:lang w:bidi="ar-SY"/>
        </w:rPr>
      </w:pPr>
      <w:r>
        <w:rPr>
          <w:rFonts w:asciiTheme="majorBidi" w:hAnsiTheme="majorBidi" w:cstheme="majorBidi"/>
          <w:noProof/>
          <w:sz w:val="24"/>
          <w:szCs w:val="24"/>
        </w:rPr>
        <w:lastRenderedPageBreak/>
        <w:drawing>
          <wp:inline distT="0" distB="0" distL="0" distR="0" wp14:anchorId="78048888" wp14:editId="79CE86F1">
            <wp:extent cx="3147070" cy="2270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0800" cy="2280138"/>
                    </a:xfrm>
                    <a:prstGeom prst="rect">
                      <a:avLst/>
                    </a:prstGeom>
                    <a:noFill/>
                  </pic:spPr>
                </pic:pic>
              </a:graphicData>
            </a:graphic>
          </wp:inline>
        </w:drawing>
      </w:r>
    </w:p>
    <w:p w14:paraId="53C9EFB4" w14:textId="04FD9CF1" w:rsidR="006D520B" w:rsidRDefault="006D520B" w:rsidP="00BD4586">
      <w:pPr>
        <w:pStyle w:val="text"/>
        <w:rPr>
          <w:rFonts w:asciiTheme="majorBidi" w:hAnsiTheme="majorBidi" w:cstheme="majorBidi"/>
          <w:sz w:val="24"/>
          <w:szCs w:val="24"/>
          <w:lang w:bidi="ar-SY"/>
        </w:rPr>
      </w:pPr>
    </w:p>
    <w:p w14:paraId="27D3C53B" w14:textId="217177A6" w:rsidR="006D520B" w:rsidRPr="006D520B" w:rsidRDefault="006D520B" w:rsidP="000D5530">
      <w:pPr>
        <w:ind w:left="630" w:hanging="630"/>
        <w:jc w:val="both"/>
        <w:rPr>
          <w:rFonts w:eastAsia="Calibri"/>
          <w:b/>
          <w:bCs/>
          <w:sz w:val="20"/>
          <w:szCs w:val="20"/>
          <w:lang w:val="tr-TR" w:eastAsia="zh-CN" w:bidi="fa-IR"/>
        </w:rPr>
      </w:pPr>
      <w:r w:rsidRPr="006D520B">
        <w:rPr>
          <w:rFonts w:eastAsia="Calibri"/>
          <w:b/>
          <w:bCs/>
          <w:sz w:val="20"/>
          <w:szCs w:val="20"/>
          <w:lang w:val="tr-TR" w:eastAsia="zh-CN" w:bidi="fa-IR"/>
        </w:rPr>
        <w:t xml:space="preserve">Figure 6: </w:t>
      </w:r>
      <w:r w:rsidRPr="006D520B">
        <w:rPr>
          <w:rFonts w:eastAsia="Calibri"/>
          <w:sz w:val="20"/>
          <w:szCs w:val="20"/>
          <w:lang w:val="tr-TR" w:eastAsia="zh-CN" w:bidi="fa-IR"/>
        </w:rPr>
        <w:t>Images of scaffold a) photograph of the scaffold with MTX microspheres, b) SEM of the scaffold with MTX microspheres in 150x, c) SEM of the scaffold with MTX microspheres in 350x,    d) SEM of the scaffold with MTX microspheres in 25000x</w:t>
      </w:r>
    </w:p>
    <w:p w14:paraId="3F0CF669" w14:textId="77777777" w:rsidR="006D520B" w:rsidRDefault="006D520B" w:rsidP="00BD4586">
      <w:pPr>
        <w:pStyle w:val="text"/>
        <w:rPr>
          <w:lang w:bidi="ar-IQ"/>
        </w:rPr>
      </w:pPr>
    </w:p>
    <w:p w14:paraId="757B0D4E" w14:textId="3AD5D7FE" w:rsidR="006D520B" w:rsidRPr="006D520B" w:rsidRDefault="006D520B" w:rsidP="00BD4586">
      <w:pPr>
        <w:pStyle w:val="text"/>
        <w:rPr>
          <w:rFonts w:asciiTheme="majorBidi" w:eastAsia="Calibri" w:hAnsiTheme="majorBidi" w:cstheme="majorBidi"/>
          <w:b/>
          <w:bCs/>
          <w:sz w:val="24"/>
          <w:lang w:bidi="ar-SY"/>
        </w:rPr>
      </w:pPr>
      <w:r w:rsidRPr="006D520B">
        <w:rPr>
          <w:rFonts w:asciiTheme="majorBidi" w:eastAsia="Calibri" w:hAnsiTheme="majorBidi" w:cstheme="majorBidi"/>
          <w:b/>
          <w:bCs/>
          <w:sz w:val="24"/>
          <w:lang w:bidi="ar-SY"/>
        </w:rPr>
        <w:t>4.3.</w:t>
      </w:r>
      <w:r w:rsidRPr="006D520B">
        <w:rPr>
          <w:rFonts w:asciiTheme="majorBidi" w:eastAsia="Calibri" w:hAnsiTheme="majorBidi" w:cstheme="majorBidi"/>
          <w:b/>
          <w:bCs/>
          <w:sz w:val="24"/>
          <w:lang w:bidi="ar-SY"/>
        </w:rPr>
        <w:tab/>
        <w:t>Drug Release Studies</w:t>
      </w:r>
    </w:p>
    <w:p w14:paraId="64DD36FC" w14:textId="15934368" w:rsidR="006D520B" w:rsidRDefault="006D520B" w:rsidP="00BD4586">
      <w:pPr>
        <w:pStyle w:val="text"/>
        <w:rPr>
          <w:lang w:bidi="ar-IQ"/>
        </w:rPr>
      </w:pPr>
    </w:p>
    <w:p w14:paraId="54832EC3" w14:textId="0CE393E5" w:rsidR="006D520B" w:rsidRDefault="006D520B" w:rsidP="006D520B">
      <w:pPr>
        <w:pStyle w:val="text"/>
        <w:rPr>
          <w:lang w:bidi="ar-IQ"/>
        </w:rPr>
      </w:pPr>
      <w:r w:rsidRPr="006D520B">
        <w:rPr>
          <w:lang w:bidi="ar-IQ"/>
        </w:rPr>
        <w:t>We investigated the drug-release behavior of methotrexate for the prepared nanoparticles under physiological conditions, Figure 7. Where the release studies were conducted in phosphate-buffered saline (PBS) at pH of 7.4 and temperature of 37°C to mimic the physiological environment, the nanoparticles were synthesized using chemically cross-linked emulsion method with sodium alginate and chitosan as the polymeric matrix, three different drug loadings were studied, denoted as MTX1, MTX2, and MTX3  the drug release profiles were monitored over 150 hours.</w:t>
      </w:r>
      <w:r>
        <w:rPr>
          <w:noProof/>
        </w:rPr>
        <w:drawing>
          <wp:inline distT="0" distB="0" distL="0" distR="0" wp14:anchorId="38D1E4C1" wp14:editId="192A092B">
            <wp:extent cx="2687359" cy="17589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l="11173" t="2233" r="2685" b="3967"/>
                    <a:stretch/>
                  </pic:blipFill>
                  <pic:spPr bwMode="auto">
                    <a:xfrm>
                      <a:off x="0" y="0"/>
                      <a:ext cx="2720433" cy="1780647"/>
                    </a:xfrm>
                    <a:prstGeom prst="rect">
                      <a:avLst/>
                    </a:prstGeom>
                    <a:noFill/>
                    <a:ln>
                      <a:noFill/>
                    </a:ln>
                    <a:extLst>
                      <a:ext uri="{53640926-AAD7-44D8-BBD7-CCE9431645EC}">
                        <a14:shadowObscured xmlns:a14="http://schemas.microsoft.com/office/drawing/2010/main"/>
                      </a:ext>
                    </a:extLst>
                  </pic:spPr>
                </pic:pic>
              </a:graphicData>
            </a:graphic>
          </wp:inline>
        </w:drawing>
      </w:r>
    </w:p>
    <w:p w14:paraId="11AD7D21" w14:textId="307F0748" w:rsidR="006D520B" w:rsidRDefault="006D520B" w:rsidP="006D520B">
      <w:pPr>
        <w:pStyle w:val="text"/>
        <w:rPr>
          <w:lang w:bidi="ar-IQ"/>
        </w:rPr>
      </w:pPr>
    </w:p>
    <w:p w14:paraId="14471B84" w14:textId="016C63E0" w:rsidR="006D520B" w:rsidRDefault="006D520B" w:rsidP="00FE70D8">
      <w:pPr>
        <w:pStyle w:val="text"/>
        <w:ind w:left="900" w:hanging="900"/>
        <w:rPr>
          <w:lang w:bidi="ar-IQ"/>
        </w:rPr>
      </w:pPr>
      <w:r w:rsidRPr="006D520B">
        <w:rPr>
          <w:b/>
          <w:bCs/>
          <w:lang w:bidi="ar-IQ"/>
        </w:rPr>
        <w:t>Figure 7:</w:t>
      </w:r>
      <w:r w:rsidRPr="006D520B">
        <w:rPr>
          <w:lang w:bidi="ar-IQ"/>
        </w:rPr>
        <w:t xml:space="preserve"> Drug Release Profiles of Methotrexate from microparticles</w:t>
      </w:r>
    </w:p>
    <w:p w14:paraId="36402F7D" w14:textId="77777777" w:rsidR="006D520B" w:rsidRDefault="006D520B" w:rsidP="00FE70D8">
      <w:pPr>
        <w:pStyle w:val="text"/>
        <w:ind w:left="900" w:hanging="900"/>
        <w:rPr>
          <w:lang w:bidi="ar-IQ"/>
        </w:rPr>
      </w:pPr>
    </w:p>
    <w:p w14:paraId="5B282A84" w14:textId="169D5D34" w:rsidR="006D520B" w:rsidRDefault="006D520B" w:rsidP="006D520B">
      <w:pPr>
        <w:pStyle w:val="text"/>
        <w:rPr>
          <w:lang w:bidi="ar-IQ"/>
        </w:rPr>
      </w:pPr>
      <w:r w:rsidRPr="006D520B">
        <w:rPr>
          <w:lang w:bidi="ar-IQ"/>
        </w:rPr>
        <w:t xml:space="preserve">The drug release profiles exhibited a sustained and controlled release pattern over the 150 hours, indicating the potential of the microparticles as an effective drug delivery system. The drug loading influenced the release kinetics, with higher drug concentrations resulting in increased overall drug release rates. For the MTX1 sample (100mg drug loading), a gradual and sustained release was observed, reaching a maximum release of  </w:t>
      </w:r>
      <w:r w:rsidRPr="006D520B">
        <w:rPr>
          <w:lang w:bidi="ar-IQ"/>
        </w:rPr>
        <w:lastRenderedPageBreak/>
        <w:t>61.14 after 24 hours, the MTX2 sample (200 mg drug loading) showed a slightly faster release rate, with a maximum release of 70.96 after 24 hours, the MTX3 sample (300 mg drug loading) exhibited the highest release rate, achieving the maximum release of 80.5  after 24 hours. Figure 8, presents the release ratio of MTX  from the scaffold ( MTX sc ) in phosphate buffer (pH=7.4) at 37 °C compared with microspheres loaded drug (MTX m). The initial burst release was relatively low for all samples, indicating a stable encapsulation of the drug within the microparticle matrix, as time progressed the drug release rate increased, due to the gradual degradation or erosion of the polymeric matrix, facilitating the diffusion of the drug molecules from the nanoparticles. The sustained release behavior observed in this study is desirable for various therapeutic applications, as it can maintain effective drug concentrations in the target site for an extended period, minimizing the need for frequent dosing and potentially reducing side effects associated with fluctuating drug levels. The results demonstrate the successful encapsulation and controlled release of methotrexate from the prepared microparticles, highlighting their potential as a promising drug delivery platform, the ability to modulate the drug release rate by varying the drug loading offers opportunities for tailoring the formulation to specific therapeutic requirements.</w:t>
      </w:r>
    </w:p>
    <w:p w14:paraId="2E0D52AF" w14:textId="5029CACB" w:rsidR="006D520B" w:rsidRDefault="006D520B" w:rsidP="006D520B">
      <w:pPr>
        <w:pStyle w:val="text"/>
        <w:rPr>
          <w:lang w:bidi="ar-IQ"/>
        </w:rPr>
      </w:pPr>
    </w:p>
    <w:p w14:paraId="6E55AD51" w14:textId="7E8C16CA" w:rsidR="006D520B" w:rsidRDefault="006D520B" w:rsidP="006D520B">
      <w:pPr>
        <w:pStyle w:val="text"/>
        <w:rPr>
          <w:lang w:bidi="ar-IQ"/>
        </w:rPr>
      </w:pPr>
      <w:r>
        <w:rPr>
          <w:noProof/>
        </w:rPr>
        <w:drawing>
          <wp:inline distT="0" distB="0" distL="0" distR="0" wp14:anchorId="1F8B8CD9" wp14:editId="74B06D5D">
            <wp:extent cx="2429093" cy="1710138"/>
            <wp:effectExtent l="0" t="0" r="952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27" t="3018" r="2235" b="4529"/>
                    <a:stretch/>
                  </pic:blipFill>
                  <pic:spPr bwMode="auto">
                    <a:xfrm>
                      <a:off x="0" y="0"/>
                      <a:ext cx="2445101" cy="1721408"/>
                    </a:xfrm>
                    <a:prstGeom prst="rect">
                      <a:avLst/>
                    </a:prstGeom>
                    <a:noFill/>
                    <a:ln>
                      <a:noFill/>
                    </a:ln>
                    <a:extLst>
                      <a:ext uri="{53640926-AAD7-44D8-BBD7-CCE9431645EC}">
                        <a14:shadowObscured xmlns:a14="http://schemas.microsoft.com/office/drawing/2010/main"/>
                      </a:ext>
                    </a:extLst>
                  </pic:spPr>
                </pic:pic>
              </a:graphicData>
            </a:graphic>
          </wp:inline>
        </w:drawing>
      </w:r>
    </w:p>
    <w:p w14:paraId="1EC2145A" w14:textId="16937419" w:rsidR="006D520B" w:rsidRDefault="006D520B" w:rsidP="00FE70D8">
      <w:pPr>
        <w:pStyle w:val="text"/>
        <w:ind w:left="900" w:hanging="900"/>
        <w:rPr>
          <w:lang w:bidi="ar-IQ"/>
        </w:rPr>
      </w:pPr>
    </w:p>
    <w:p w14:paraId="46C89042" w14:textId="02A6A895" w:rsidR="006D520B" w:rsidRDefault="006D520B" w:rsidP="00FE70D8">
      <w:pPr>
        <w:pStyle w:val="text"/>
        <w:ind w:left="900" w:hanging="900"/>
        <w:rPr>
          <w:lang w:bidi="ar-IQ"/>
        </w:rPr>
      </w:pPr>
      <w:r w:rsidRPr="006D520B">
        <w:rPr>
          <w:b/>
          <w:bCs/>
          <w:lang w:bidi="ar-IQ"/>
        </w:rPr>
        <w:t>Figure 8:</w:t>
      </w:r>
      <w:r>
        <w:rPr>
          <w:lang w:bidi="ar-IQ"/>
        </w:rPr>
        <w:t xml:space="preserve"> </w:t>
      </w:r>
      <w:r w:rsidRPr="006D520B">
        <w:rPr>
          <w:lang w:bidi="ar-IQ"/>
        </w:rPr>
        <w:t>Release curve of Methotrexate from scaffolds and microspheres</w:t>
      </w:r>
    </w:p>
    <w:p w14:paraId="4E9E1C91" w14:textId="22BAC89D" w:rsidR="006D520B" w:rsidRDefault="006D520B" w:rsidP="00FE70D8">
      <w:pPr>
        <w:pStyle w:val="text"/>
        <w:ind w:left="900" w:hanging="900"/>
        <w:rPr>
          <w:lang w:bidi="ar-IQ"/>
        </w:rPr>
      </w:pPr>
    </w:p>
    <w:p w14:paraId="72AEE2A8" w14:textId="77777777" w:rsidR="006D520B" w:rsidRDefault="006D520B" w:rsidP="006D520B">
      <w:pPr>
        <w:pStyle w:val="text"/>
        <w:rPr>
          <w:lang w:bidi="ar-IQ"/>
        </w:rPr>
      </w:pPr>
    </w:p>
    <w:p w14:paraId="66B08ED5" w14:textId="6AC49B58" w:rsidR="006D520B" w:rsidRPr="00B53406" w:rsidRDefault="002E4810" w:rsidP="002E4810">
      <w:pPr>
        <w:pStyle w:val="text"/>
        <w:ind w:firstLine="0"/>
        <w:rPr>
          <w:rFonts w:asciiTheme="majorBidi" w:eastAsia="Calibri" w:hAnsiTheme="majorBidi" w:cstheme="majorBidi"/>
          <w:b/>
          <w:bCs/>
          <w:lang w:bidi="ar-SY"/>
        </w:rPr>
      </w:pPr>
      <w:r w:rsidRPr="00B53406">
        <w:rPr>
          <w:rFonts w:asciiTheme="majorBidi" w:eastAsia="Calibri" w:hAnsiTheme="majorBidi" w:cstheme="majorBidi"/>
          <w:b/>
          <w:bCs/>
          <w:lang w:bidi="ar-SY"/>
        </w:rPr>
        <w:t>4.4</w:t>
      </w:r>
      <w:r w:rsidR="00B53406">
        <w:rPr>
          <w:rFonts w:asciiTheme="majorBidi" w:eastAsia="Calibri" w:hAnsiTheme="majorBidi" w:cstheme="majorBidi"/>
          <w:b/>
          <w:bCs/>
          <w:lang w:bidi="ar-SY"/>
        </w:rPr>
        <w:t xml:space="preserve"> Porosity Study</w:t>
      </w:r>
    </w:p>
    <w:p w14:paraId="082061B0" w14:textId="1582468F" w:rsidR="006D520B" w:rsidRDefault="006D520B" w:rsidP="006D520B">
      <w:pPr>
        <w:pStyle w:val="text"/>
        <w:rPr>
          <w:lang w:bidi="ar-IQ"/>
        </w:rPr>
      </w:pPr>
    </w:p>
    <w:p w14:paraId="5B761015" w14:textId="77777777" w:rsidR="00DA390F" w:rsidRDefault="00DA390F" w:rsidP="00DA390F">
      <w:pPr>
        <w:pStyle w:val="text"/>
        <w:rPr>
          <w:lang w:bidi="ar-IQ"/>
        </w:rPr>
      </w:pPr>
      <w:r>
        <w:rPr>
          <w:lang w:bidi="ar-IQ"/>
        </w:rPr>
        <w:t>The porosity of the prepared scaffolds was evaluated using the liquid displacement method with ethanol as the displacement solvent, the porosity percentage was calculated based on the volume of ethanol remaining within the scaffold sample relative to the total volume occupied by the scaffold and ethanol. The results are presented in Table 2.</w:t>
      </w:r>
    </w:p>
    <w:p w14:paraId="0CDA09C6" w14:textId="77777777" w:rsidR="00B53406" w:rsidRDefault="00B53406" w:rsidP="00DA390F">
      <w:pPr>
        <w:pStyle w:val="text"/>
        <w:rPr>
          <w:lang w:bidi="ar-IQ"/>
        </w:rPr>
      </w:pPr>
    </w:p>
    <w:p w14:paraId="23B5A6CE" w14:textId="77777777" w:rsidR="00B53406" w:rsidRDefault="00B53406" w:rsidP="00DA390F">
      <w:pPr>
        <w:pStyle w:val="text"/>
        <w:rPr>
          <w:lang w:bidi="ar-IQ"/>
        </w:rPr>
      </w:pPr>
    </w:p>
    <w:p w14:paraId="0ACCF751" w14:textId="77777777" w:rsidR="00B53406" w:rsidRDefault="00B53406" w:rsidP="00DA390F">
      <w:pPr>
        <w:pStyle w:val="text"/>
        <w:rPr>
          <w:lang w:bidi="ar-IQ"/>
        </w:rPr>
      </w:pPr>
    </w:p>
    <w:p w14:paraId="7438A707" w14:textId="77777777" w:rsidR="00B53406" w:rsidRDefault="00B53406" w:rsidP="00DA390F">
      <w:pPr>
        <w:pStyle w:val="text"/>
        <w:rPr>
          <w:lang w:bidi="ar-IQ"/>
        </w:rPr>
      </w:pPr>
    </w:p>
    <w:p w14:paraId="15CBFCD9" w14:textId="7BF9EC83" w:rsidR="00DA390F" w:rsidRDefault="00DA390F" w:rsidP="00B53406">
      <w:pPr>
        <w:pStyle w:val="text"/>
        <w:ind w:left="990" w:hanging="990"/>
        <w:rPr>
          <w:lang w:bidi="ar-IQ"/>
        </w:rPr>
      </w:pPr>
      <w:r w:rsidRPr="00B53406">
        <w:rPr>
          <w:b/>
          <w:bCs/>
          <w:lang w:bidi="ar-IQ"/>
        </w:rPr>
        <w:lastRenderedPageBreak/>
        <w:t>Table 2</w:t>
      </w:r>
      <w:r>
        <w:rPr>
          <w:lang w:bidi="ar-IQ"/>
        </w:rPr>
        <w:t>: Porosity measurements of the prepared scaffolds</w:t>
      </w:r>
    </w:p>
    <w:p w14:paraId="3DF3582C" w14:textId="77777777" w:rsidR="00D041DC" w:rsidRDefault="00D041DC" w:rsidP="00D041DC">
      <w:pPr>
        <w:pStyle w:val="text"/>
        <w:rPr>
          <w:lang w:bidi="ar-IQ"/>
        </w:rPr>
      </w:pPr>
    </w:p>
    <w:tbl>
      <w:tblPr>
        <w:tblStyle w:val="PlainTable111"/>
        <w:tblW w:w="0" w:type="auto"/>
        <w:tblLook w:val="04A0" w:firstRow="1" w:lastRow="0" w:firstColumn="1" w:lastColumn="0" w:noHBand="0" w:noVBand="1"/>
      </w:tblPr>
      <w:tblGrid>
        <w:gridCol w:w="3710"/>
        <w:gridCol w:w="1290"/>
      </w:tblGrid>
      <w:tr w:rsidR="00DA390F" w:rsidRPr="00DA390F" w14:paraId="0D8D320E" w14:textId="77777777" w:rsidTr="00951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6C578271" w14:textId="77777777" w:rsidR="00DA390F" w:rsidRPr="00B53406" w:rsidRDefault="00DA390F" w:rsidP="00DA390F">
            <w:pPr>
              <w:spacing w:before="120" w:after="120" w:line="276" w:lineRule="auto"/>
              <w:jc w:val="center"/>
              <w:rPr>
                <w:rFonts w:asciiTheme="majorBidi" w:hAnsiTheme="majorBidi" w:cstheme="majorBidi"/>
                <w:sz w:val="22"/>
                <w:szCs w:val="22"/>
                <w:lang w:bidi="ar-SY"/>
              </w:rPr>
            </w:pPr>
            <w:r w:rsidRPr="00B53406">
              <w:rPr>
                <w:rFonts w:asciiTheme="majorBidi" w:hAnsiTheme="majorBidi" w:cstheme="majorBidi"/>
                <w:sz w:val="22"/>
                <w:szCs w:val="22"/>
                <w:lang w:bidi="ar-SY"/>
              </w:rPr>
              <w:t>Scaffolds Types</w:t>
            </w:r>
          </w:p>
        </w:tc>
        <w:tc>
          <w:tcPr>
            <w:tcW w:w="1418" w:type="dxa"/>
            <w:vAlign w:val="center"/>
          </w:tcPr>
          <w:p w14:paraId="74341817" w14:textId="77777777" w:rsidR="00DA390F" w:rsidRPr="00B53406" w:rsidRDefault="00DA390F" w:rsidP="00DA390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lang w:bidi="ar-SY"/>
              </w:rPr>
            </w:pPr>
            <w:r w:rsidRPr="00B53406">
              <w:rPr>
                <w:rFonts w:asciiTheme="majorBidi" w:hAnsiTheme="majorBidi" w:cstheme="majorBidi"/>
                <w:sz w:val="22"/>
                <w:szCs w:val="22"/>
                <w:lang w:bidi="ar-SY"/>
              </w:rPr>
              <w:t>Porosity %</w:t>
            </w:r>
          </w:p>
        </w:tc>
      </w:tr>
      <w:tr w:rsidR="00DA390F" w:rsidRPr="00DA390F" w14:paraId="632186B5" w14:textId="77777777" w:rsidTr="00D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7CC5F4C3" w14:textId="77777777" w:rsidR="00DA390F" w:rsidRPr="00B53406" w:rsidRDefault="00DA390F" w:rsidP="00DA390F">
            <w:pPr>
              <w:spacing w:before="120" w:after="120" w:line="276" w:lineRule="auto"/>
              <w:jc w:val="center"/>
              <w:rPr>
                <w:rFonts w:asciiTheme="majorBidi" w:hAnsiTheme="majorBidi" w:cstheme="majorBidi"/>
                <w:b w:val="0"/>
                <w:bCs w:val="0"/>
                <w:sz w:val="22"/>
                <w:szCs w:val="22"/>
                <w:lang w:bidi="ar-SY"/>
              </w:rPr>
            </w:pPr>
            <w:r w:rsidRPr="00B53406">
              <w:rPr>
                <w:rFonts w:asciiTheme="majorBidi" w:hAnsiTheme="majorBidi" w:cstheme="majorBidi"/>
                <w:b w:val="0"/>
                <w:bCs w:val="0"/>
                <w:sz w:val="22"/>
                <w:szCs w:val="22"/>
                <w:lang w:bidi="ar-SY"/>
              </w:rPr>
              <w:t>Hexamethylene diisocyanate scaffolds without hydroxyapatite</w:t>
            </w:r>
          </w:p>
        </w:tc>
        <w:tc>
          <w:tcPr>
            <w:tcW w:w="1418" w:type="dxa"/>
            <w:vAlign w:val="center"/>
          </w:tcPr>
          <w:p w14:paraId="514BC716" w14:textId="77777777" w:rsidR="00DA390F" w:rsidRPr="00B53406" w:rsidRDefault="00DA390F" w:rsidP="00DA390F">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ar-SY"/>
              </w:rPr>
            </w:pPr>
            <w:r w:rsidRPr="00B53406">
              <w:rPr>
                <w:rFonts w:asciiTheme="majorBidi" w:hAnsiTheme="majorBidi" w:cstheme="majorBidi"/>
                <w:sz w:val="22"/>
                <w:szCs w:val="22"/>
                <w:lang w:bidi="ar-SY"/>
              </w:rPr>
              <w:t>91</w:t>
            </w:r>
          </w:p>
        </w:tc>
      </w:tr>
      <w:tr w:rsidR="00DA390F" w:rsidRPr="00DA390F" w14:paraId="249552F8" w14:textId="77777777" w:rsidTr="00951B2F">
        <w:tc>
          <w:tcPr>
            <w:cnfStyle w:val="001000000000" w:firstRow="0" w:lastRow="0" w:firstColumn="1" w:lastColumn="0" w:oddVBand="0" w:evenVBand="0" w:oddHBand="0" w:evenHBand="0" w:firstRowFirstColumn="0" w:firstRowLastColumn="0" w:lastRowFirstColumn="0" w:lastRowLastColumn="0"/>
            <w:tcW w:w="4644" w:type="dxa"/>
            <w:vAlign w:val="center"/>
          </w:tcPr>
          <w:p w14:paraId="1839C74A" w14:textId="77777777" w:rsidR="00DA390F" w:rsidRPr="00B53406" w:rsidRDefault="00DA390F" w:rsidP="00DA390F">
            <w:pPr>
              <w:spacing w:before="120" w:after="120" w:line="276" w:lineRule="auto"/>
              <w:jc w:val="center"/>
              <w:rPr>
                <w:rFonts w:asciiTheme="majorBidi" w:hAnsiTheme="majorBidi" w:cstheme="majorBidi"/>
                <w:b w:val="0"/>
                <w:bCs w:val="0"/>
                <w:sz w:val="22"/>
                <w:szCs w:val="22"/>
                <w:lang w:bidi="ar-SY"/>
              </w:rPr>
            </w:pPr>
            <w:r w:rsidRPr="00B53406">
              <w:rPr>
                <w:rFonts w:asciiTheme="majorBidi" w:hAnsiTheme="majorBidi" w:cstheme="majorBidi"/>
                <w:b w:val="0"/>
                <w:bCs w:val="0"/>
                <w:sz w:val="22"/>
                <w:szCs w:val="22"/>
                <w:lang w:bidi="ar-SY"/>
              </w:rPr>
              <w:t>Hexamethylene diisocyanate scaffolds with hydroxyapatite</w:t>
            </w:r>
          </w:p>
        </w:tc>
        <w:tc>
          <w:tcPr>
            <w:tcW w:w="1418" w:type="dxa"/>
            <w:vAlign w:val="center"/>
          </w:tcPr>
          <w:p w14:paraId="7B9F2D2F" w14:textId="77777777" w:rsidR="00DA390F" w:rsidRPr="00B53406" w:rsidRDefault="00DA390F" w:rsidP="00DA390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SY"/>
              </w:rPr>
            </w:pPr>
            <w:r w:rsidRPr="00B53406">
              <w:rPr>
                <w:rFonts w:asciiTheme="majorBidi" w:hAnsiTheme="majorBidi" w:cstheme="majorBidi"/>
                <w:sz w:val="22"/>
                <w:szCs w:val="22"/>
                <w:lang w:bidi="ar-SY"/>
              </w:rPr>
              <w:t>78</w:t>
            </w:r>
          </w:p>
        </w:tc>
      </w:tr>
      <w:tr w:rsidR="00DA390F" w:rsidRPr="00DA390F" w14:paraId="44184A26" w14:textId="77777777" w:rsidTr="00DA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0F9CC758" w14:textId="77777777" w:rsidR="00DA390F" w:rsidRPr="00B53406" w:rsidRDefault="00DA390F" w:rsidP="00DA390F">
            <w:pPr>
              <w:spacing w:before="120" w:after="120" w:line="276" w:lineRule="auto"/>
              <w:jc w:val="center"/>
              <w:rPr>
                <w:rFonts w:asciiTheme="majorBidi" w:hAnsiTheme="majorBidi" w:cstheme="majorBidi"/>
                <w:b w:val="0"/>
                <w:bCs w:val="0"/>
                <w:sz w:val="22"/>
                <w:szCs w:val="22"/>
                <w:lang w:bidi="ar-SY"/>
              </w:rPr>
            </w:pPr>
            <w:r w:rsidRPr="00B53406">
              <w:rPr>
                <w:rFonts w:asciiTheme="majorBidi" w:hAnsiTheme="majorBidi" w:cstheme="majorBidi"/>
                <w:b w:val="0"/>
                <w:bCs w:val="0"/>
                <w:sz w:val="22"/>
                <w:szCs w:val="22"/>
                <w:lang w:bidi="ar-SY"/>
              </w:rPr>
              <w:t>Hexamethylene diisocyanate scaffolds with hydroxyapatite and MTX micropheres</w:t>
            </w:r>
          </w:p>
        </w:tc>
        <w:tc>
          <w:tcPr>
            <w:tcW w:w="1418" w:type="dxa"/>
            <w:vAlign w:val="center"/>
          </w:tcPr>
          <w:p w14:paraId="0C9826E1" w14:textId="77777777" w:rsidR="00DA390F" w:rsidRPr="00B53406" w:rsidRDefault="00DA390F" w:rsidP="00DA390F">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ar-SY"/>
              </w:rPr>
            </w:pPr>
            <w:r w:rsidRPr="00B53406">
              <w:rPr>
                <w:rFonts w:asciiTheme="majorBidi" w:hAnsiTheme="majorBidi" w:cstheme="majorBidi"/>
                <w:sz w:val="22"/>
                <w:szCs w:val="22"/>
                <w:lang w:bidi="ar-SY"/>
              </w:rPr>
              <w:t>70</w:t>
            </w:r>
          </w:p>
        </w:tc>
      </w:tr>
    </w:tbl>
    <w:p w14:paraId="6DFEDA5B" w14:textId="650BCB25" w:rsidR="00DA390F" w:rsidRDefault="00DA390F" w:rsidP="00DA390F">
      <w:pPr>
        <w:pStyle w:val="text"/>
        <w:rPr>
          <w:lang w:bidi="ar-IQ"/>
        </w:rPr>
      </w:pPr>
    </w:p>
    <w:p w14:paraId="3AFF7289" w14:textId="16BC17BD" w:rsidR="00DA390F" w:rsidRDefault="00DA390F" w:rsidP="00B53406">
      <w:pPr>
        <w:pStyle w:val="text"/>
        <w:ind w:firstLine="288"/>
        <w:rPr>
          <w:lang w:bidi="ar-IQ"/>
        </w:rPr>
      </w:pPr>
      <w:r w:rsidRPr="00DA390F">
        <w:rPr>
          <w:lang w:bidi="ar-IQ"/>
        </w:rPr>
        <w:t>The high porosity of the scaffolds is crucial for various applications, such as tissue engineering, drug delivery and filtration. Porous scaffolds facilitate cell infiltration, nutrient and waste transport and provide a favorable environment for tissue growth and regeneration. Additionally, the interconnected pores allow for efficient loading and controlled release of therapeutic agents or biomolecules. The porosity study demonstrated the successful preparation of highly porous scaffolds with varying degrees of porosity, depending on the composition and materials used. These findings provide valuable insights into the structural properties of the scaffolds and their potential applications in biomedical and industrial fields.</w:t>
      </w:r>
    </w:p>
    <w:p w14:paraId="48E77059" w14:textId="71CDD321" w:rsidR="00DA390F" w:rsidRDefault="00DA390F" w:rsidP="00DA390F">
      <w:pPr>
        <w:pStyle w:val="text"/>
        <w:rPr>
          <w:lang w:bidi="ar-IQ"/>
        </w:rPr>
      </w:pPr>
    </w:p>
    <w:p w14:paraId="3C4F518C" w14:textId="77777777" w:rsidR="00407B33" w:rsidRDefault="00B53406" w:rsidP="00DA390F">
      <w:pPr>
        <w:pStyle w:val="text"/>
        <w:ind w:firstLine="0"/>
      </w:pPr>
      <w:r>
        <w:rPr>
          <w:rFonts w:asciiTheme="majorBidi" w:eastAsia="Calibri" w:hAnsiTheme="majorBidi" w:cstheme="majorBidi"/>
          <w:b/>
          <w:bCs/>
          <w:lang w:bidi="ar-SY"/>
        </w:rPr>
        <w:t>4.5</w:t>
      </w:r>
      <w:r w:rsidR="00DA390F" w:rsidRPr="00B53406">
        <w:rPr>
          <w:rFonts w:asciiTheme="majorBidi" w:eastAsia="Calibri" w:hAnsiTheme="majorBidi" w:cstheme="majorBidi"/>
          <w:b/>
          <w:bCs/>
          <w:lang w:bidi="ar-SY"/>
        </w:rPr>
        <w:t xml:space="preserve"> Degradation Study of Prepared Scaffolds</w:t>
      </w:r>
      <w:r w:rsidR="00DA390F" w:rsidRPr="00B53406">
        <w:t xml:space="preserve"> </w:t>
      </w:r>
    </w:p>
    <w:p w14:paraId="0029A02A" w14:textId="50B8C755" w:rsidR="00DA390F" w:rsidRPr="00B53406" w:rsidRDefault="00DA390F" w:rsidP="00407B33">
      <w:pPr>
        <w:pStyle w:val="text"/>
        <w:ind w:firstLine="0"/>
        <w:rPr>
          <w:rFonts w:asciiTheme="majorBidi" w:eastAsia="Calibri" w:hAnsiTheme="majorBidi" w:cstheme="majorBidi"/>
          <w:b/>
          <w:bCs/>
          <w:lang w:bidi="ar-SY"/>
        </w:rPr>
      </w:pPr>
      <w:r w:rsidRPr="00B53406">
        <w:rPr>
          <w:rFonts w:asciiTheme="majorBidi" w:eastAsia="Calibri" w:hAnsiTheme="majorBidi" w:cstheme="majorBidi"/>
          <w:b/>
          <w:bCs/>
          <w:lang w:bidi="ar-SY"/>
        </w:rPr>
        <w:t>4.5.1</w:t>
      </w:r>
      <w:r w:rsidRPr="00B53406">
        <w:rPr>
          <w:rFonts w:asciiTheme="majorBidi" w:eastAsia="Calibri" w:hAnsiTheme="majorBidi" w:cstheme="majorBidi"/>
          <w:b/>
          <w:bCs/>
          <w:lang w:bidi="ar-SY"/>
        </w:rPr>
        <w:tab/>
        <w:t xml:space="preserve"> In Oxidation Solution</w:t>
      </w:r>
    </w:p>
    <w:p w14:paraId="121C549E" w14:textId="77777777" w:rsidR="00DA390F" w:rsidRDefault="00DA390F" w:rsidP="00DA390F">
      <w:pPr>
        <w:pStyle w:val="text"/>
        <w:ind w:firstLine="0"/>
        <w:rPr>
          <w:rFonts w:asciiTheme="majorBidi" w:eastAsia="Calibri" w:hAnsiTheme="majorBidi" w:cstheme="majorBidi"/>
          <w:b/>
          <w:bCs/>
          <w:sz w:val="24"/>
          <w:lang w:bidi="ar-SY"/>
        </w:rPr>
      </w:pPr>
    </w:p>
    <w:p w14:paraId="087A2E8A" w14:textId="12FC1428" w:rsidR="00DA390F" w:rsidRDefault="00DA390F" w:rsidP="00B53406">
      <w:pPr>
        <w:pStyle w:val="text"/>
        <w:ind w:firstLine="0"/>
        <w:rPr>
          <w:lang w:bidi="ar-IQ"/>
        </w:rPr>
      </w:pPr>
      <w:r w:rsidRPr="00DA390F">
        <w:rPr>
          <w:lang w:bidi="ar-IQ"/>
        </w:rPr>
        <w:t>The degradation study of the prepared scaffolds in the oxidation solution exhibited distinct behaviors among the different scaffold compositions, decomposition was monitored using</w:t>
      </w:r>
      <w:r w:rsidR="00B53406">
        <w:rPr>
          <w:lang w:bidi="ar-IQ"/>
        </w:rPr>
        <w:t xml:space="preserve"> </w:t>
      </w:r>
      <w:r w:rsidRPr="00DA390F">
        <w:rPr>
          <w:lang w:bidi="ar-IQ"/>
        </w:rPr>
        <w:t xml:space="preserve"> Figure 9</w:t>
      </w:r>
      <w:r w:rsidR="00B53406">
        <w:rPr>
          <w:lang w:bidi="ar-IQ"/>
        </w:rPr>
        <w:t>.</w:t>
      </w:r>
    </w:p>
    <w:p w14:paraId="42B3D726" w14:textId="6960B032" w:rsidR="00DA390F" w:rsidRDefault="00DA390F" w:rsidP="00DA390F">
      <w:pPr>
        <w:pStyle w:val="text"/>
        <w:ind w:firstLine="0"/>
        <w:rPr>
          <w:lang w:bidi="ar-IQ"/>
        </w:rPr>
      </w:pPr>
    </w:p>
    <w:p w14:paraId="11F70828" w14:textId="5789C84D" w:rsidR="00DA390F" w:rsidRDefault="00DA390F" w:rsidP="00DA390F">
      <w:pPr>
        <w:pStyle w:val="text"/>
        <w:ind w:firstLine="0"/>
        <w:rPr>
          <w:lang w:bidi="ar-IQ"/>
        </w:rPr>
      </w:pPr>
      <w:r>
        <w:rPr>
          <w:noProof/>
        </w:rPr>
        <w:drawing>
          <wp:inline distT="0" distB="0" distL="0" distR="0" wp14:anchorId="78883080" wp14:editId="0954855E">
            <wp:extent cx="3309963" cy="9715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6948" cy="1017629"/>
                    </a:xfrm>
                    <a:prstGeom prst="rect">
                      <a:avLst/>
                    </a:prstGeom>
                    <a:noFill/>
                  </pic:spPr>
                </pic:pic>
              </a:graphicData>
            </a:graphic>
          </wp:inline>
        </w:drawing>
      </w:r>
    </w:p>
    <w:p w14:paraId="0E6DB085" w14:textId="03012C4D" w:rsidR="00DA390F" w:rsidRPr="00DA390F" w:rsidRDefault="00DA390F" w:rsidP="00B53406">
      <w:pPr>
        <w:pStyle w:val="text"/>
        <w:ind w:left="900" w:hanging="900"/>
        <w:rPr>
          <w:b/>
          <w:bCs/>
          <w:lang w:bidi="ar-IQ"/>
        </w:rPr>
      </w:pPr>
      <w:r w:rsidRPr="00DA390F">
        <w:rPr>
          <w:b/>
          <w:bCs/>
          <w:lang w:bidi="ar-IQ"/>
        </w:rPr>
        <w:t xml:space="preserve">Figure 9: </w:t>
      </w:r>
      <w:r w:rsidRPr="00DA390F">
        <w:rPr>
          <w:lang w:bidi="ar-IQ"/>
        </w:rPr>
        <w:t>SEM images during the oxidative degradation of prepared scaffolds</w:t>
      </w:r>
    </w:p>
    <w:p w14:paraId="6C14F4C3" w14:textId="7AFECD01" w:rsidR="00DA390F" w:rsidRPr="00DA390F" w:rsidRDefault="00DA390F" w:rsidP="00DA390F">
      <w:pPr>
        <w:pStyle w:val="text"/>
        <w:rPr>
          <w:b/>
          <w:bCs/>
          <w:lang w:bidi="ar-IQ"/>
        </w:rPr>
      </w:pPr>
    </w:p>
    <w:p w14:paraId="6E2ADBCB" w14:textId="77777777" w:rsidR="00DA390F" w:rsidRDefault="00DA390F" w:rsidP="00DA390F">
      <w:pPr>
        <w:pStyle w:val="text"/>
        <w:rPr>
          <w:lang w:bidi="ar-IQ"/>
        </w:rPr>
      </w:pPr>
      <w:r>
        <w:rPr>
          <w:lang w:bidi="ar-IQ"/>
        </w:rPr>
        <w:t>Based on the SEM images provided for the hexamethylene diisocyanate scaffold with polyelectrolyte during oxidation degradation:</w:t>
      </w:r>
    </w:p>
    <w:p w14:paraId="1C0B9C6C" w14:textId="61BC4EDB" w:rsidR="00DA390F" w:rsidRDefault="00DA390F" w:rsidP="00B53406">
      <w:pPr>
        <w:pStyle w:val="text"/>
        <w:ind w:firstLine="0"/>
        <w:rPr>
          <w:lang w:bidi="ar-IQ"/>
        </w:rPr>
      </w:pPr>
      <w:r>
        <w:rPr>
          <w:lang w:bidi="ar-IQ"/>
        </w:rPr>
        <w:t xml:space="preserve">At 7 days, minimal degradation is observed, and the scaffold maintains its overall structure, with a smooth surface and intact porous network. Some minor surface roughening may be present, but the scaffold largely retains its original morphology. By 14 days, signs of </w:t>
      </w:r>
      <w:r>
        <w:rPr>
          <w:lang w:bidi="ar-IQ"/>
        </w:rPr>
        <w:lastRenderedPageBreak/>
        <w:t>degradation become more apparent, the surface shows increased roughness and some erosion of the scaffold structure, pores appear slightly enlarged, and there may be evidence of localized breakdown in certain areas, the overall scaffold architecture remains recognizable. At 21 days, significant degradation is visible, the scaffold structure shows extensive breakdown, with larger pores and cavities forming throughout, and the surface appears highly eroded and fragmented. Some regions may have completely degraded, while others still maintain remnants of the original structure. This degradation profile suggests a gradual and controlled breakdown of the hexamethylene diisocyanate with polyelectrolyte scaffold over several weeks under oxidative conditions, the scaffold demonstrates good initial stability, followed by progressive degradation, which advantageous for applications requiring sustained release or gradual tissue integration, the incorporation of polyelectrolyte influenced the degradation rate and pattern, potentially offering tunable degradation properties for specific biomedical applications. These findings highlight the influence of scaffold composition on their resistance to harsh oxidative conditions.</w:t>
      </w:r>
    </w:p>
    <w:p w14:paraId="102A1362" w14:textId="5D3C559A" w:rsidR="00DA390F" w:rsidRDefault="00407B33" w:rsidP="00DA390F">
      <w:pPr>
        <w:pStyle w:val="text"/>
        <w:rPr>
          <w:lang w:bidi="ar-IQ"/>
        </w:rPr>
      </w:pPr>
      <w:r>
        <w:rPr>
          <w:noProof/>
        </w:rPr>
        <w:drawing>
          <wp:anchor distT="0" distB="0" distL="114300" distR="114300" simplePos="0" relativeHeight="251674624" behindDoc="0" locked="0" layoutInCell="1" allowOverlap="1" wp14:anchorId="36709755" wp14:editId="6EACD048">
            <wp:simplePos x="0" y="0"/>
            <wp:positionH relativeFrom="column">
              <wp:posOffset>3234690</wp:posOffset>
            </wp:positionH>
            <wp:positionV relativeFrom="paragraph">
              <wp:posOffset>-4047490</wp:posOffset>
            </wp:positionV>
            <wp:extent cx="3342005" cy="8928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2005" cy="892810"/>
                    </a:xfrm>
                    <a:prstGeom prst="rect">
                      <a:avLst/>
                    </a:prstGeom>
                    <a:noFill/>
                  </pic:spPr>
                </pic:pic>
              </a:graphicData>
            </a:graphic>
            <wp14:sizeRelH relativeFrom="margin">
              <wp14:pctWidth>0</wp14:pctWidth>
            </wp14:sizeRelH>
            <wp14:sizeRelV relativeFrom="margin">
              <wp14:pctHeight>0</wp14:pctHeight>
            </wp14:sizeRelV>
          </wp:anchor>
        </w:drawing>
      </w:r>
    </w:p>
    <w:p w14:paraId="63EF29E6" w14:textId="3A3DD3F8" w:rsidR="00DA390F" w:rsidRPr="00407B33" w:rsidRDefault="00407B33" w:rsidP="00407B33">
      <w:pPr>
        <w:pStyle w:val="text"/>
        <w:ind w:firstLine="0"/>
        <w:rPr>
          <w:rFonts w:asciiTheme="majorBidi" w:eastAsia="Calibri" w:hAnsiTheme="majorBidi" w:cstheme="majorBidi"/>
          <w:b/>
          <w:bCs/>
          <w:lang w:bidi="ar-SY"/>
        </w:rPr>
      </w:pPr>
      <w:r>
        <w:rPr>
          <w:rFonts w:asciiTheme="majorBidi" w:eastAsia="Calibri" w:hAnsiTheme="majorBidi" w:cstheme="majorBidi"/>
          <w:b/>
          <w:bCs/>
          <w:lang w:bidi="ar-SY"/>
        </w:rPr>
        <w:t xml:space="preserve">4.5.2 </w:t>
      </w:r>
      <w:r w:rsidR="00DA390F" w:rsidRPr="00407B33">
        <w:rPr>
          <w:rFonts w:asciiTheme="majorBidi" w:eastAsia="Calibri" w:hAnsiTheme="majorBidi" w:cstheme="majorBidi"/>
          <w:b/>
          <w:bCs/>
          <w:lang w:bidi="ar-SY"/>
        </w:rPr>
        <w:t xml:space="preserve"> </w:t>
      </w:r>
      <w:r w:rsidRPr="00407B33">
        <w:rPr>
          <w:rFonts w:asciiTheme="majorBidi" w:eastAsia="Calibri" w:hAnsiTheme="majorBidi" w:cstheme="majorBidi"/>
          <w:b/>
          <w:bCs/>
          <w:lang w:bidi="ar-SY"/>
        </w:rPr>
        <w:t>In lysozyme Solution</w:t>
      </w:r>
    </w:p>
    <w:p w14:paraId="12F7673E" w14:textId="7B9E2FBC" w:rsidR="00407B33" w:rsidRDefault="00DA390F" w:rsidP="00407B33">
      <w:pPr>
        <w:pStyle w:val="text"/>
        <w:ind w:firstLine="0"/>
        <w:rPr>
          <w:noProof/>
        </w:rPr>
      </w:pPr>
      <w:r w:rsidRPr="00DA390F">
        <w:rPr>
          <w:lang w:bidi="ar-IQ"/>
        </w:rPr>
        <w:t>The degradation behavior of the prepared scaffolds under physiological conditions was evaluated by immersing them in a lysozyme solution. Lysozyme, an enzyme present in various biological fluids, was employed to simulate the degradation process within the human body. Samples of each scaffold type were carefully weighed and immersed in individual containers filled with a phosphate-buffered saline (PBS) solution containing lysozyme at a pH of 7.4 and a temperature of 37°C.</w:t>
      </w:r>
    </w:p>
    <w:p w14:paraId="1B05EB4B" w14:textId="0CCE310C" w:rsidR="00407B33" w:rsidRDefault="00407B33" w:rsidP="00407B33">
      <w:pPr>
        <w:pStyle w:val="text"/>
        <w:ind w:firstLine="0"/>
        <w:rPr>
          <w:noProof/>
        </w:rPr>
      </w:pPr>
    </w:p>
    <w:p w14:paraId="5B9236B5" w14:textId="77777777" w:rsidR="00407B33" w:rsidRDefault="00407B33" w:rsidP="00407B33">
      <w:pPr>
        <w:pStyle w:val="text"/>
        <w:ind w:firstLine="0"/>
        <w:rPr>
          <w:noProof/>
        </w:rPr>
      </w:pPr>
    </w:p>
    <w:p w14:paraId="76BF441A" w14:textId="77777777" w:rsidR="00407B33" w:rsidRDefault="00407B33" w:rsidP="00407B33">
      <w:pPr>
        <w:pStyle w:val="text"/>
        <w:ind w:left="1260" w:hanging="1260"/>
        <w:jc w:val="left"/>
        <w:rPr>
          <w:b/>
          <w:bCs/>
          <w:lang w:bidi="ar-IQ"/>
        </w:rPr>
      </w:pPr>
    </w:p>
    <w:p w14:paraId="22A49381" w14:textId="77777777" w:rsidR="00407B33" w:rsidRDefault="00407B33" w:rsidP="00407B33">
      <w:pPr>
        <w:pStyle w:val="text"/>
        <w:ind w:left="1260" w:hanging="1260"/>
        <w:jc w:val="left"/>
        <w:rPr>
          <w:b/>
          <w:bCs/>
          <w:lang w:bidi="ar-IQ"/>
        </w:rPr>
      </w:pPr>
    </w:p>
    <w:p w14:paraId="64C86594" w14:textId="77777777" w:rsidR="00407B33" w:rsidRPr="00DA390F" w:rsidRDefault="00407B33" w:rsidP="00407B33">
      <w:pPr>
        <w:pStyle w:val="text"/>
        <w:ind w:left="1260" w:hanging="1260"/>
        <w:jc w:val="left"/>
        <w:rPr>
          <w:b/>
          <w:bCs/>
          <w:lang w:bidi="ar-IQ"/>
        </w:rPr>
      </w:pPr>
      <w:r>
        <w:rPr>
          <w:b/>
          <w:bCs/>
          <w:lang w:bidi="ar-IQ"/>
        </w:rPr>
        <w:t xml:space="preserve">Figure 10: </w:t>
      </w:r>
      <w:r w:rsidRPr="00DA390F">
        <w:rPr>
          <w:lang w:bidi="ar-IQ"/>
        </w:rPr>
        <w:t>SEM images during the enzymatic degradation of prepared scaffolds</w:t>
      </w:r>
    </w:p>
    <w:p w14:paraId="1CCFB30C" w14:textId="77777777" w:rsidR="00407B33" w:rsidRDefault="00407B33" w:rsidP="00407B33">
      <w:pPr>
        <w:pStyle w:val="text"/>
        <w:ind w:firstLine="0"/>
        <w:rPr>
          <w:lang w:bidi="ar-IQ"/>
        </w:rPr>
      </w:pPr>
    </w:p>
    <w:p w14:paraId="6BFD8BE2" w14:textId="1E0EDD2B" w:rsidR="00B4211C" w:rsidRPr="00C80B66" w:rsidRDefault="00DA390F" w:rsidP="00407B33">
      <w:pPr>
        <w:pStyle w:val="text"/>
        <w:ind w:firstLine="0"/>
        <w:rPr>
          <w:rFonts w:asciiTheme="majorBidi" w:hAnsiTheme="majorBidi" w:cstheme="majorBidi"/>
          <w:rtl/>
          <w:lang w:bidi="ar-IQ"/>
        </w:rPr>
      </w:pPr>
      <w:r>
        <w:rPr>
          <w:lang w:bidi="ar-IQ"/>
        </w:rPr>
        <w:t>Based on the SEM images provided for the hexamethylene diisocyanate with polyelectrolyte scaffold during enzymatic degradation:</w:t>
      </w:r>
      <w:r w:rsidR="00407B33">
        <w:rPr>
          <w:lang w:bidi="ar-IQ"/>
        </w:rPr>
        <w:t xml:space="preserve"> </w:t>
      </w:r>
      <w:r>
        <w:rPr>
          <w:lang w:bidi="ar-IQ"/>
        </w:rPr>
        <w:t>At 7 days, minimal degradation is observed, and the scaffold maintains its overall structure, with a smooth surface and intact porous network. Some minor surface roughening may be present, but the scaffold largely retains its original morphology. By 14 days, signs of degradation become more apparent, the surface shows increased roughness and some erosion of the scaffold structure, pores appear slightly enlarged and there may be evidence of localized breakdown in certain areas. However, the overall scaffold architecture remains recognizable. At 21 days, significant degradation is visible, and the scaffold structure shows extensive breakdown, with larger pores and cavities forming throughout, the surface appears highly eroded and fragmented, some regions may have completely degraded, while others still maintain remnants of the original structure. This degradation profile suggests gradual and controlled breakdown of the hexamethylene diisocyanate with polyelectrolyte scaffold over several weeks under physiological conditions, the scaffold demonstrates good initial stability, followed by progressive degradation, which is advantageous for applications requiring sustained release or gradual tissue integration. The incorporation of polyelectrolyte influenced the degradation rate and pattern, offering tunable degradation properties for specific biomedical applications</w:t>
      </w:r>
      <w:r w:rsidR="00B4211C" w:rsidRPr="00C80B66">
        <w:rPr>
          <w:lang w:bidi="ar-IQ"/>
        </w:rPr>
        <w:t>.</w:t>
      </w:r>
      <w:r w:rsidR="00BD4586">
        <w:rPr>
          <w:lang w:bidi="ar-IQ"/>
        </w:rPr>
        <w:t xml:space="preserve"> </w:t>
      </w:r>
    </w:p>
    <w:bookmarkEnd w:id="10"/>
    <w:p w14:paraId="65C628E2" w14:textId="73720554" w:rsidR="00347BC1" w:rsidRDefault="00347BC1" w:rsidP="001A3A05">
      <w:pPr>
        <w:pStyle w:val="text"/>
        <w:ind w:firstLine="0"/>
        <w:rPr>
          <w:lang w:bidi="ar-IQ"/>
        </w:rPr>
        <w:sectPr w:rsidR="00347BC1" w:rsidSect="00342564">
          <w:headerReference w:type="even" r:id="rId33"/>
          <w:type w:val="continuous"/>
          <w:pgSz w:w="11906" w:h="16838" w:code="9"/>
          <w:pgMar w:top="965" w:right="763" w:bottom="1238" w:left="763" w:header="720" w:footer="576" w:gutter="0"/>
          <w:cols w:num="2" w:space="360"/>
          <w:docGrid w:linePitch="326"/>
        </w:sectPr>
      </w:pPr>
    </w:p>
    <w:p w14:paraId="03B9E21D" w14:textId="1B378754" w:rsidR="00910722" w:rsidRPr="002813C8" w:rsidRDefault="00DA390F" w:rsidP="00BE516E">
      <w:pPr>
        <w:pStyle w:val="Tmaintitle"/>
        <w:spacing w:before="0"/>
      </w:pPr>
      <w:r>
        <w:rPr>
          <w:rFonts w:eastAsia="Calibri"/>
        </w:rPr>
        <w:lastRenderedPageBreak/>
        <w:t>5</w:t>
      </w:r>
      <w:r w:rsidR="00910722" w:rsidRPr="002813C8">
        <w:rPr>
          <w:rFonts w:eastAsia="Calibri"/>
        </w:rPr>
        <w:t>. Conclusion</w:t>
      </w:r>
      <w:r w:rsidR="00407B33">
        <w:rPr>
          <w:rFonts w:eastAsia="Calibri"/>
        </w:rPr>
        <w:t>s</w:t>
      </w:r>
    </w:p>
    <w:bookmarkEnd w:id="4"/>
    <w:p w14:paraId="2776FCBD" w14:textId="77777777" w:rsidR="00DA390F" w:rsidRDefault="00DA390F" w:rsidP="0031742D">
      <w:pPr>
        <w:pStyle w:val="Tmaintitle"/>
      </w:pPr>
      <w:r w:rsidRPr="00DA390F">
        <w:rPr>
          <w:b w:val="0"/>
          <w:bCs w:val="0"/>
          <w:kern w:val="0"/>
          <w:lang w:eastAsia="en-US" w:bidi="ar-IQ"/>
        </w:rPr>
        <w:t xml:space="preserve">Our research has yielded several significant findings in the development of polymeric scaffolds for controlled drug delivery. The incorporation of Methotrexate-loaded sodium alginate microspheres into hexamethylene diisocyanate and polyelectrolyte scaffolds proved successful, as evidenced by comprehensive characterization studies. FTIR and XRD analyses confirmed the presence of expected functional groups and crystalline structures, while SEM imaging revealed highly porous and interconnected architecture conducive to cell infiltration and nutrient transport. The drug release studies demonstrated sustained and controlled release of Methotrexate over 150 hours, with release kinetics influenced by drug loading. This behavior is particularly advantageous for maintaining therapeutic drug concentrations over extended periods, potentially reducing dosing frequency and associated side effects. Porosity measurements indicated highly porous structures, crucial for various biomedical applications. </w:t>
      </w:r>
      <w:r w:rsidRPr="00DA390F">
        <w:rPr>
          <w:b w:val="0"/>
          <w:bCs w:val="0"/>
          <w:kern w:val="0"/>
          <w:lang w:eastAsia="en-US" w:bidi="ar-IQ"/>
        </w:rPr>
        <w:lastRenderedPageBreak/>
        <w:t>The scaffolds exhibited controlled degradation in both oxidative and enzymatic environments, suggesting their suitability for in vivo applications where gradual breakdown is desired. These findings collectively point to the potential of our developed scaffolds as versatile platforms for drug delivery and tissue engineering. The tunable nature of the scaffolds, in terms of drug loading and degradation rates, offers flexibility in designing targeted therapies.</w:t>
      </w:r>
    </w:p>
    <w:p w14:paraId="71240393" w14:textId="672C3EED" w:rsidR="003C25EE" w:rsidRDefault="00132DE6" w:rsidP="0031742D">
      <w:pPr>
        <w:pStyle w:val="Tmaintitle"/>
        <w:contextualSpacing/>
      </w:pPr>
      <w:r w:rsidRPr="003C25EE">
        <w:t>References</w:t>
      </w:r>
      <w:r w:rsidR="00A90618" w:rsidRPr="003C25EE">
        <w:t xml:space="preserve"> </w:t>
      </w:r>
    </w:p>
    <w:p w14:paraId="33C46C71" w14:textId="1C118910" w:rsidR="001806DC" w:rsidRDefault="00862C5E" w:rsidP="00A41331">
      <w:pPr>
        <w:pStyle w:val="NormalWeb"/>
        <w:ind w:left="360" w:hanging="360"/>
        <w:contextualSpacing/>
        <w:jc w:val="both"/>
        <w:rPr>
          <w:sz w:val="20"/>
          <w:szCs w:val="20"/>
        </w:rPr>
      </w:pPr>
      <w:r w:rsidRPr="00862C5E">
        <w:rPr>
          <w:rFonts w:asciiTheme="majorBidi" w:hAnsiTheme="majorBidi" w:cstheme="majorBidi"/>
          <w:sz w:val="20"/>
          <w:szCs w:val="20"/>
          <w:lang w:bidi="ar-IQ"/>
        </w:rPr>
        <w:fldChar w:fldCharType="begin" w:fldLock="1"/>
      </w:r>
      <w:r w:rsidRPr="00862C5E">
        <w:rPr>
          <w:rFonts w:asciiTheme="majorBidi" w:hAnsiTheme="majorBidi" w:cstheme="majorBidi"/>
          <w:sz w:val="20"/>
          <w:szCs w:val="20"/>
          <w:lang w:bidi="ar-IQ"/>
        </w:rPr>
        <w:instrText xml:space="preserve">ADDIN Mendeley Bibliography CSL_BIBLIOGRAPHY </w:instrText>
      </w:r>
      <w:r w:rsidRPr="00862C5E">
        <w:rPr>
          <w:rFonts w:asciiTheme="majorBidi" w:hAnsiTheme="majorBidi" w:cstheme="majorBidi"/>
          <w:sz w:val="20"/>
          <w:szCs w:val="20"/>
          <w:lang w:bidi="ar-IQ"/>
        </w:rPr>
        <w:fldChar w:fldCharType="separate"/>
      </w:r>
      <w:r w:rsidR="00E92B65" w:rsidRPr="00311862">
        <w:rPr>
          <w:sz w:val="20"/>
          <w:szCs w:val="20"/>
        </w:rPr>
        <w:t xml:space="preserve"> [1] S. Adepu, and S. Ramakrishna, Controlled drug delivery systems: current status and future directions. </w:t>
      </w:r>
      <w:r w:rsidR="00E92B65" w:rsidRPr="00311862">
        <w:rPr>
          <w:i/>
          <w:iCs/>
          <w:sz w:val="20"/>
          <w:szCs w:val="20"/>
        </w:rPr>
        <w:t>Molecules</w:t>
      </w:r>
      <w:r w:rsidR="00E92B65" w:rsidRPr="00311862">
        <w:rPr>
          <w:sz w:val="20"/>
          <w:szCs w:val="20"/>
        </w:rPr>
        <w:t xml:space="preserve"> 26 (2021), 905, </w:t>
      </w:r>
      <w:hyperlink r:id="rId34" w:tgtFrame="_blank" w:history="1">
        <w:r w:rsidR="00E92B65" w:rsidRPr="00311862">
          <w:rPr>
            <w:rStyle w:val="Hyperlink"/>
            <w:sz w:val="20"/>
            <w:szCs w:val="20"/>
          </w:rPr>
          <w:t>https://doi.org/10.3</w:t>
        </w:r>
        <w:r w:rsidR="00E92B65" w:rsidRPr="00311862">
          <w:rPr>
            <w:rStyle w:val="Hyperlink"/>
            <w:sz w:val="20"/>
            <w:szCs w:val="20"/>
          </w:rPr>
          <w:t>3</w:t>
        </w:r>
        <w:r w:rsidR="00E92B65" w:rsidRPr="00311862">
          <w:rPr>
            <w:rStyle w:val="Hyperlink"/>
            <w:sz w:val="20"/>
            <w:szCs w:val="20"/>
          </w:rPr>
          <w:t>90/molecules26195905</w:t>
        </w:r>
      </w:hyperlink>
      <w:r w:rsidR="00E92B65" w:rsidRPr="00311862">
        <w:rPr>
          <w:sz w:val="20"/>
          <w:szCs w:val="20"/>
        </w:rPr>
        <w:t>.</w:t>
      </w:r>
    </w:p>
    <w:p w14:paraId="21D10C87" w14:textId="005E1125" w:rsidR="00E92B65" w:rsidRPr="00311862" w:rsidRDefault="00E92B65" w:rsidP="00A41331">
      <w:pPr>
        <w:pStyle w:val="NormalWeb"/>
        <w:ind w:left="360" w:hanging="360"/>
        <w:contextualSpacing/>
        <w:jc w:val="both"/>
        <w:rPr>
          <w:sz w:val="20"/>
          <w:szCs w:val="20"/>
        </w:rPr>
      </w:pPr>
      <w:r w:rsidRPr="00311862">
        <w:rPr>
          <w:sz w:val="20"/>
          <w:szCs w:val="20"/>
        </w:rPr>
        <w:t xml:space="preserve">[2] K. K. Jain, An overview of drug delivery systems. </w:t>
      </w:r>
      <w:r w:rsidRPr="00311862">
        <w:rPr>
          <w:i/>
          <w:iCs/>
          <w:sz w:val="20"/>
          <w:szCs w:val="20"/>
        </w:rPr>
        <w:t>Methods Mol Biol</w:t>
      </w:r>
      <w:r w:rsidRPr="00311862">
        <w:rPr>
          <w:sz w:val="20"/>
          <w:szCs w:val="20"/>
        </w:rPr>
        <w:t xml:space="preserve"> 2059 (2020), 1-54, </w:t>
      </w:r>
      <w:hyperlink r:id="rId35" w:tgtFrame="_blank" w:history="1">
        <w:r w:rsidRPr="00311862">
          <w:rPr>
            <w:rStyle w:val="Hyperlink"/>
            <w:sz w:val="20"/>
            <w:szCs w:val="20"/>
          </w:rPr>
          <w:t>https://doi.org/10.1007/978-1-4939-9798-5_1</w:t>
        </w:r>
      </w:hyperlink>
      <w:r w:rsidRPr="00311862">
        <w:rPr>
          <w:sz w:val="20"/>
          <w:szCs w:val="20"/>
        </w:rPr>
        <w:t>.</w:t>
      </w:r>
    </w:p>
    <w:p w14:paraId="6BDA5DFF" w14:textId="77777777" w:rsidR="00E92B65" w:rsidRPr="00311862" w:rsidRDefault="00E92B65" w:rsidP="0010728C">
      <w:pPr>
        <w:pStyle w:val="NormalWeb"/>
        <w:ind w:left="270" w:hanging="270"/>
        <w:contextualSpacing/>
        <w:rPr>
          <w:sz w:val="20"/>
          <w:szCs w:val="20"/>
        </w:rPr>
      </w:pPr>
      <w:r w:rsidRPr="00311862">
        <w:rPr>
          <w:sz w:val="20"/>
          <w:szCs w:val="20"/>
        </w:rPr>
        <w:t xml:space="preserve">[3] H. Park, A. Otte, and K. Park, Evolution of drug delivery systems: From 1950 to 2020 and beyond. </w:t>
      </w:r>
      <w:r w:rsidRPr="00311862">
        <w:rPr>
          <w:i/>
          <w:iCs/>
          <w:sz w:val="20"/>
          <w:szCs w:val="20"/>
        </w:rPr>
        <w:t>J Control Release</w:t>
      </w:r>
      <w:r w:rsidRPr="00311862">
        <w:rPr>
          <w:sz w:val="20"/>
          <w:szCs w:val="20"/>
        </w:rPr>
        <w:t xml:space="preserve"> 342 (2022), 53-65, </w:t>
      </w:r>
      <w:hyperlink r:id="rId36" w:tgtFrame="_blank" w:history="1">
        <w:r w:rsidRPr="00311862">
          <w:rPr>
            <w:rStyle w:val="Hyperlink"/>
            <w:sz w:val="20"/>
            <w:szCs w:val="20"/>
          </w:rPr>
          <w:t>https://doi.org/10.1016/j.jconrel.2021.12.030</w:t>
        </w:r>
      </w:hyperlink>
      <w:r w:rsidRPr="00311862">
        <w:rPr>
          <w:sz w:val="20"/>
          <w:szCs w:val="20"/>
        </w:rPr>
        <w:t>.</w:t>
      </w:r>
    </w:p>
    <w:p w14:paraId="3355005D" w14:textId="77777777" w:rsidR="00E92B65" w:rsidRPr="00311862" w:rsidRDefault="00E92B65" w:rsidP="00BD63CC">
      <w:pPr>
        <w:pStyle w:val="NormalWeb"/>
        <w:ind w:left="270" w:hanging="270"/>
        <w:contextualSpacing/>
        <w:jc w:val="both"/>
        <w:rPr>
          <w:sz w:val="20"/>
          <w:szCs w:val="20"/>
        </w:rPr>
      </w:pPr>
      <w:r w:rsidRPr="00311862">
        <w:rPr>
          <w:sz w:val="20"/>
          <w:szCs w:val="20"/>
        </w:rPr>
        <w:lastRenderedPageBreak/>
        <w:t xml:space="preserve">[4] M. Puccetti, M. Pariano, A. Schoubben, S. Giovagnoli, and M. Ricci, Biologics, theranostics, and personalized medicine in drug delivery systems. </w:t>
      </w:r>
      <w:r w:rsidRPr="00311862">
        <w:rPr>
          <w:i/>
          <w:iCs/>
          <w:sz w:val="20"/>
          <w:szCs w:val="20"/>
        </w:rPr>
        <w:t>Pharmacol Res</w:t>
      </w:r>
      <w:r w:rsidRPr="00311862">
        <w:rPr>
          <w:sz w:val="20"/>
          <w:szCs w:val="20"/>
        </w:rPr>
        <w:t xml:space="preserve"> (2024), 107086, </w:t>
      </w:r>
      <w:hyperlink r:id="rId37" w:tgtFrame="_blank" w:history="1">
        <w:r w:rsidRPr="00311862">
          <w:rPr>
            <w:rStyle w:val="Hyperlink"/>
            <w:sz w:val="20"/>
            <w:szCs w:val="20"/>
          </w:rPr>
          <w:t>https://doi.org/10.1016/j.phrs.2024.107086</w:t>
        </w:r>
      </w:hyperlink>
      <w:r w:rsidRPr="00311862">
        <w:rPr>
          <w:sz w:val="20"/>
          <w:szCs w:val="20"/>
        </w:rPr>
        <w:t>.</w:t>
      </w:r>
    </w:p>
    <w:p w14:paraId="5EFBCC05"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[5] Y. Liu, X. Zhang, Y. Wang, Y. Wang, and D.-G. Yu, Electrospun multi‐chamber core–shell nanofibers and their controlled release behaviors: A review. </w:t>
      </w:r>
      <w:r w:rsidRPr="00311862">
        <w:rPr>
          <w:i/>
          <w:iCs/>
          <w:sz w:val="20"/>
          <w:szCs w:val="20"/>
        </w:rPr>
        <w:t>Wiley Interdiscip Rev Nanomed Nanobiotechnol</w:t>
      </w:r>
      <w:r w:rsidRPr="00311862">
        <w:rPr>
          <w:sz w:val="20"/>
          <w:szCs w:val="20"/>
        </w:rPr>
        <w:t xml:space="preserve"> 16 (2024), e1954, </w:t>
      </w:r>
      <w:hyperlink r:id="rId38" w:tgtFrame="_blank" w:history="1">
        <w:r w:rsidRPr="00311862">
          <w:rPr>
            <w:rStyle w:val="Hyperlink"/>
            <w:sz w:val="20"/>
            <w:szCs w:val="20"/>
          </w:rPr>
          <w:t>https://doi.org/10.1002/wnan.1954</w:t>
        </w:r>
      </w:hyperlink>
      <w:r w:rsidRPr="00311862">
        <w:rPr>
          <w:sz w:val="20"/>
          <w:szCs w:val="20"/>
        </w:rPr>
        <w:t>.</w:t>
      </w:r>
    </w:p>
    <w:p w14:paraId="7CCECCA8"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[6] I. R. Calori, G. Braga, P. D. S. V. de Jesus, A. C. Tedesco, and G. R. de Souza, Polymer scaffolds as drug delivery systems. </w:t>
      </w:r>
      <w:r w:rsidRPr="00311862">
        <w:rPr>
          <w:i/>
          <w:iCs/>
          <w:sz w:val="20"/>
          <w:szCs w:val="20"/>
        </w:rPr>
        <w:t>Eur Polym J</w:t>
      </w:r>
      <w:r w:rsidRPr="00311862">
        <w:rPr>
          <w:sz w:val="20"/>
          <w:szCs w:val="20"/>
        </w:rPr>
        <w:t xml:space="preserve"> 129 (2020), 109621, </w:t>
      </w:r>
      <w:hyperlink r:id="rId39" w:tgtFrame="_blank" w:history="1">
        <w:r w:rsidRPr="00311862">
          <w:rPr>
            <w:rStyle w:val="Hyperlink"/>
            <w:sz w:val="20"/>
            <w:szCs w:val="20"/>
          </w:rPr>
          <w:t>https://doi.org/10.1016/j.eurpolymj.2020.109621</w:t>
        </w:r>
      </w:hyperlink>
      <w:r w:rsidRPr="00311862">
        <w:rPr>
          <w:sz w:val="20"/>
          <w:szCs w:val="20"/>
        </w:rPr>
        <w:t>.</w:t>
      </w:r>
    </w:p>
    <w:p w14:paraId="248E3801"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[7] M. I. Echeverria Molina, K. G. Malollari, and K. Komvopoulos, Design challenges in polymeric scaffolds for tissue engineering. </w:t>
      </w:r>
      <w:r w:rsidRPr="00311862">
        <w:rPr>
          <w:i/>
          <w:iCs/>
          <w:sz w:val="20"/>
          <w:szCs w:val="20"/>
        </w:rPr>
        <w:t>Front Bioeng Biotechnol</w:t>
      </w:r>
      <w:r w:rsidRPr="00311862">
        <w:rPr>
          <w:sz w:val="20"/>
          <w:szCs w:val="20"/>
        </w:rPr>
        <w:t xml:space="preserve"> 9 (2021), 617141, </w:t>
      </w:r>
      <w:hyperlink r:id="rId40" w:tgtFrame="_blank" w:history="1">
        <w:r w:rsidRPr="00311862">
          <w:rPr>
            <w:rStyle w:val="Hyperlink"/>
            <w:sz w:val="20"/>
            <w:szCs w:val="20"/>
          </w:rPr>
          <w:t>https://doi.org/10.3389/fbioe.2021.617141</w:t>
        </w:r>
      </w:hyperlink>
      <w:r w:rsidRPr="00311862">
        <w:rPr>
          <w:sz w:val="20"/>
          <w:szCs w:val="20"/>
        </w:rPr>
        <w:t>.</w:t>
      </w:r>
    </w:p>
    <w:p w14:paraId="7F073249"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[8] M. Z. Al Mahmud, M. H. Mobarak, and N. Hossain, Exploring the versatile applications of biocomposites in the medical field. </w:t>
      </w:r>
      <w:r w:rsidRPr="00311862">
        <w:rPr>
          <w:i/>
          <w:iCs/>
          <w:sz w:val="20"/>
          <w:szCs w:val="20"/>
        </w:rPr>
        <w:t>J. Compos. Sci.</w:t>
      </w:r>
      <w:r w:rsidRPr="00311862">
        <w:rPr>
          <w:sz w:val="20"/>
          <w:szCs w:val="20"/>
        </w:rPr>
        <w:t xml:space="preserve"> 8 (2024), 22. </w:t>
      </w:r>
      <w:hyperlink r:id="rId41" w:tgtFrame="_blank" w:history="1">
        <w:r w:rsidRPr="00311862">
          <w:rPr>
            <w:rStyle w:val="Hyperlink"/>
            <w:sz w:val="20"/>
            <w:szCs w:val="20"/>
          </w:rPr>
          <w:t>https://doi.org/10.3390/jcs8010022</w:t>
        </w:r>
      </w:hyperlink>
    </w:p>
    <w:p w14:paraId="52211600" w14:textId="555455A5" w:rsidR="00E92B65" w:rsidRPr="00311862" w:rsidRDefault="00E92B65" w:rsidP="00BD63CC">
      <w:pPr>
        <w:pStyle w:val="NormalWeb"/>
        <w:ind w:left="270" w:hanging="270"/>
        <w:contextualSpacing/>
        <w:jc w:val="both"/>
        <w:rPr>
          <w:sz w:val="20"/>
          <w:szCs w:val="20"/>
        </w:rPr>
      </w:pPr>
      <w:r w:rsidRPr="00311862">
        <w:rPr>
          <w:sz w:val="20"/>
          <w:szCs w:val="20"/>
        </w:rPr>
        <w:t xml:space="preserve">[9] A. A. Aldawood, M. M. M. Alkharobi, and M. A. A. Al-Ghamdi, Recent advances in 3D printing of tissue engineering scaffolds. </w:t>
      </w:r>
      <w:r w:rsidRPr="00311862">
        <w:rPr>
          <w:i/>
          <w:iCs/>
          <w:sz w:val="20"/>
          <w:szCs w:val="20"/>
        </w:rPr>
        <w:t>Polymers</w:t>
      </w:r>
      <w:r w:rsidR="00A41331">
        <w:rPr>
          <w:sz w:val="20"/>
          <w:szCs w:val="20"/>
        </w:rPr>
        <w:t xml:space="preserve"> 13.9 (2021)</w:t>
      </w:r>
      <w:r w:rsidRPr="00311862">
        <w:rPr>
          <w:sz w:val="20"/>
          <w:szCs w:val="20"/>
        </w:rPr>
        <w:t xml:space="preserve"> 1436, </w:t>
      </w:r>
      <w:hyperlink r:id="rId42" w:tgtFrame="_blank" w:history="1">
        <w:r w:rsidRPr="00311862">
          <w:rPr>
            <w:rStyle w:val="Hyperlink"/>
            <w:sz w:val="20"/>
            <w:szCs w:val="20"/>
          </w:rPr>
          <w:t>https://doi.org/10.3390/polym13091436</w:t>
        </w:r>
      </w:hyperlink>
      <w:r w:rsidRPr="00311862">
        <w:rPr>
          <w:sz w:val="20"/>
          <w:szCs w:val="20"/>
        </w:rPr>
        <w:t>.</w:t>
      </w:r>
    </w:p>
    <w:p w14:paraId="5A55E506"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[10] H. M. Bukhari, M. A. Z. Abidin, and S. A. A. Gani, Three-dimensional printing of tissue engineering scaffolds: recent advances and future directions. </w:t>
      </w:r>
      <w:r w:rsidRPr="00311862">
        <w:rPr>
          <w:i/>
          <w:iCs/>
          <w:sz w:val="20"/>
          <w:szCs w:val="20"/>
        </w:rPr>
        <w:t>J. Mater. Res.</w:t>
      </w:r>
      <w:r w:rsidRPr="00311862">
        <w:rPr>
          <w:sz w:val="20"/>
          <w:szCs w:val="20"/>
        </w:rPr>
        <w:t xml:space="preserve"> 35.11 (2020): 1349-1365, </w:t>
      </w:r>
      <w:hyperlink r:id="rId43" w:tgtFrame="_blank" w:history="1">
        <w:r w:rsidRPr="00311862">
          <w:rPr>
            <w:rStyle w:val="Hyperlink"/>
            <w:sz w:val="20"/>
            <w:szCs w:val="20"/>
          </w:rPr>
          <w:t>https://doi.org/10.1557/jmr.2020.109</w:t>
        </w:r>
      </w:hyperlink>
      <w:r w:rsidRPr="00311862">
        <w:rPr>
          <w:sz w:val="20"/>
          <w:szCs w:val="20"/>
        </w:rPr>
        <w:t>.</w:t>
      </w:r>
    </w:p>
    <w:p w14:paraId="2C400E04"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[11] N. J. Oh, S. J. Lee, and J. H. Kim, Surface modification of 3D-printed scaffolds for tissue engineering applications: a brief review. </w:t>
      </w:r>
      <w:r w:rsidRPr="00311862">
        <w:rPr>
          <w:i/>
          <w:iCs/>
          <w:sz w:val="20"/>
          <w:szCs w:val="20"/>
        </w:rPr>
        <w:t>Biomater Res</w:t>
      </w:r>
      <w:r w:rsidRPr="00311862">
        <w:rPr>
          <w:sz w:val="20"/>
          <w:szCs w:val="20"/>
        </w:rPr>
        <w:t xml:space="preserve"> 24 (2020): 3, </w:t>
      </w:r>
      <w:hyperlink r:id="rId44" w:tgtFrame="_blank" w:history="1">
        <w:r w:rsidRPr="00311862">
          <w:rPr>
            <w:rStyle w:val="Hyperlink"/>
            <w:sz w:val="20"/>
            <w:szCs w:val="20"/>
          </w:rPr>
          <w:t>https://doi.org/10.1186/s40824-020-00181-y</w:t>
        </w:r>
      </w:hyperlink>
      <w:r w:rsidRPr="00311862">
        <w:rPr>
          <w:sz w:val="20"/>
          <w:szCs w:val="20"/>
        </w:rPr>
        <w:t>.</w:t>
      </w:r>
    </w:p>
    <w:p w14:paraId="30668C71"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[12] I. A. Siddique, A. R. A. Rahman, and M. R. M. Rejab, Characterization of 3D-printed scaffolds for tissue engineering. </w:t>
      </w:r>
      <w:r w:rsidRPr="00311862">
        <w:rPr>
          <w:i/>
          <w:iCs/>
          <w:sz w:val="20"/>
          <w:szCs w:val="20"/>
        </w:rPr>
        <w:t>3D Printing in Medicine</w:t>
      </w:r>
      <w:r w:rsidRPr="00311862">
        <w:rPr>
          <w:sz w:val="20"/>
          <w:szCs w:val="20"/>
        </w:rPr>
        <w:t xml:space="preserve"> (2021): 373-393, </w:t>
      </w:r>
      <w:hyperlink r:id="rId45" w:tgtFrame="_blank" w:history="1">
        <w:r w:rsidRPr="00311862">
          <w:rPr>
            <w:rStyle w:val="Hyperlink"/>
            <w:sz w:val="20"/>
            <w:szCs w:val="20"/>
          </w:rPr>
          <w:t>https://doi.org/10.1007/978-3-030-64222-7_17</w:t>
        </w:r>
      </w:hyperlink>
      <w:r w:rsidRPr="00311862">
        <w:rPr>
          <w:sz w:val="20"/>
          <w:szCs w:val="20"/>
        </w:rPr>
        <w:t>.</w:t>
      </w:r>
    </w:p>
    <w:p w14:paraId="69268E7C" w14:textId="0F844741" w:rsidR="00E92B65" w:rsidRPr="00311862" w:rsidRDefault="00E92B65" w:rsidP="00A41331">
      <w:pPr>
        <w:pStyle w:val="NormalWeb"/>
        <w:ind w:left="270" w:hanging="270"/>
        <w:contextualSpacing/>
        <w:jc w:val="both"/>
        <w:rPr>
          <w:sz w:val="20"/>
          <w:szCs w:val="20"/>
        </w:rPr>
      </w:pPr>
      <w:r w:rsidRPr="00311862">
        <w:rPr>
          <w:sz w:val="20"/>
          <w:szCs w:val="20"/>
        </w:rPr>
        <w:t xml:space="preserve">[13] M. Mabrouk, H. H. Beherei, and D. B. Das, Recent progress in the fabrication techniques of 3D scaffolds for tissue engineering. </w:t>
      </w:r>
      <w:r w:rsidRPr="00311862">
        <w:rPr>
          <w:i/>
          <w:iCs/>
          <w:sz w:val="20"/>
          <w:szCs w:val="20"/>
        </w:rPr>
        <w:t>Mater Sci Eng C Mater Biol Appl</w:t>
      </w:r>
      <w:r w:rsidR="0010728C">
        <w:rPr>
          <w:sz w:val="20"/>
          <w:szCs w:val="20"/>
        </w:rPr>
        <w:t xml:space="preserve"> 110 (2020),</w:t>
      </w:r>
      <w:r w:rsidRPr="00311862">
        <w:rPr>
          <w:sz w:val="20"/>
          <w:szCs w:val="20"/>
        </w:rPr>
        <w:t>110716,</w:t>
      </w:r>
      <w:r w:rsidRPr="00A41331">
        <w:rPr>
          <w:rStyle w:val="Hyperlink"/>
          <w:sz w:val="20"/>
          <w:szCs w:val="20"/>
        </w:rPr>
        <w:t>ttps://doi.org/10.1016/j.msec.2020.110716.</w:t>
      </w:r>
    </w:p>
    <w:p w14:paraId="0735172C"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[14] A. K. Badekila, S. Kini, and A. K. Jaiswal, Fabrication techniques of biomimetic scaffolds in three‐dimensional cell culture: A review. </w:t>
      </w:r>
      <w:r w:rsidRPr="00311862">
        <w:rPr>
          <w:i/>
          <w:iCs/>
          <w:sz w:val="20"/>
          <w:szCs w:val="20"/>
        </w:rPr>
        <w:t>J Cell Physiol</w:t>
      </w:r>
      <w:r w:rsidRPr="00311862">
        <w:rPr>
          <w:sz w:val="20"/>
          <w:szCs w:val="20"/>
        </w:rPr>
        <w:t xml:space="preserve"> 236 (2021), 741-762, </w:t>
      </w:r>
      <w:hyperlink r:id="rId46" w:tgtFrame="_blank" w:history="1">
        <w:r w:rsidRPr="00311862">
          <w:rPr>
            <w:rStyle w:val="Hyperlink"/>
            <w:sz w:val="20"/>
            <w:szCs w:val="20"/>
          </w:rPr>
          <w:t>https://doi.org/10.1002/jcp.29935</w:t>
        </w:r>
      </w:hyperlink>
      <w:r w:rsidRPr="00311862">
        <w:rPr>
          <w:sz w:val="20"/>
          <w:szCs w:val="20"/>
        </w:rPr>
        <w:t>.</w:t>
      </w:r>
    </w:p>
    <w:p w14:paraId="1AC6AA95"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[15] F. Colucci, V. Mancini, C. Mattu, and M. Boffito, Designing multifunctional devices for regenerative pharmacology based on 3D scaffolds, drug-loaded nanoparticles, and thermosensitive hydrogels: A proof-of-concept study. </w:t>
      </w:r>
      <w:r w:rsidRPr="00311862">
        <w:rPr>
          <w:i/>
          <w:iCs/>
          <w:sz w:val="20"/>
          <w:szCs w:val="20"/>
        </w:rPr>
        <w:t>Pharmaceutics</w:t>
      </w:r>
      <w:r w:rsidRPr="00311862">
        <w:rPr>
          <w:sz w:val="20"/>
          <w:szCs w:val="20"/>
        </w:rPr>
        <w:t xml:space="preserve"> 13 (2021), 464, </w:t>
      </w:r>
      <w:hyperlink r:id="rId47" w:tgtFrame="_blank" w:history="1">
        <w:r w:rsidRPr="00311862">
          <w:rPr>
            <w:rStyle w:val="Hyperlink"/>
            <w:sz w:val="20"/>
            <w:szCs w:val="20"/>
          </w:rPr>
          <w:t>https://doi.org/10.3390/pharmaceutics13040464</w:t>
        </w:r>
      </w:hyperlink>
      <w:r w:rsidRPr="00311862">
        <w:rPr>
          <w:sz w:val="20"/>
          <w:szCs w:val="20"/>
        </w:rPr>
        <w:t>.</w:t>
      </w:r>
    </w:p>
    <w:p w14:paraId="528AE76D"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[16] S. C. Kellaway, M. M. Ullrich, and K. Dziemidowicz, Electrospun drug‐loaded scaffolds for nervous system repair. </w:t>
      </w:r>
      <w:r w:rsidRPr="00311862">
        <w:rPr>
          <w:i/>
          <w:iCs/>
          <w:sz w:val="20"/>
          <w:szCs w:val="20"/>
        </w:rPr>
        <w:t>Wiley Interdiscip Rev Nanomed Nanobiotechnol</w:t>
      </w:r>
      <w:r w:rsidRPr="00311862">
        <w:rPr>
          <w:sz w:val="20"/>
          <w:szCs w:val="20"/>
        </w:rPr>
        <w:t xml:space="preserve"> 16 (2024), e1965, </w:t>
      </w:r>
      <w:hyperlink r:id="rId48" w:tgtFrame="_blank" w:history="1">
        <w:r w:rsidRPr="00311862">
          <w:rPr>
            <w:rStyle w:val="Hyperlink"/>
            <w:sz w:val="20"/>
            <w:szCs w:val="20"/>
          </w:rPr>
          <w:t>https://doi.org/10.1002/wnan.1965</w:t>
        </w:r>
      </w:hyperlink>
      <w:r w:rsidRPr="00311862">
        <w:rPr>
          <w:sz w:val="20"/>
          <w:szCs w:val="20"/>
        </w:rPr>
        <w:t>.</w:t>
      </w:r>
    </w:p>
    <w:p w14:paraId="35DD1D82" w14:textId="77777777" w:rsidR="00E92B65" w:rsidRPr="00311862" w:rsidRDefault="00E92B65" w:rsidP="00BD63CC">
      <w:pPr>
        <w:pStyle w:val="NormalWeb"/>
        <w:ind w:left="270" w:hanging="270"/>
        <w:contextualSpacing/>
        <w:jc w:val="both"/>
        <w:rPr>
          <w:sz w:val="20"/>
          <w:szCs w:val="20"/>
        </w:rPr>
      </w:pPr>
      <w:r w:rsidRPr="00311862">
        <w:rPr>
          <w:sz w:val="20"/>
          <w:szCs w:val="20"/>
        </w:rPr>
        <w:t xml:space="preserve">[17] D. Kaur, and A. Kaur, Engineering of electrospun polycaprolactone/polyvinyl alcohol-collagen based 3D nano scaffolds and their drug release kinetics using cetirizine as a model drug. </w:t>
      </w:r>
      <w:r w:rsidRPr="00311862">
        <w:rPr>
          <w:i/>
          <w:iCs/>
          <w:sz w:val="20"/>
          <w:szCs w:val="20"/>
        </w:rPr>
        <w:t>Int J Biol Macromol</w:t>
      </w:r>
      <w:r w:rsidRPr="00311862">
        <w:rPr>
          <w:sz w:val="20"/>
          <w:szCs w:val="20"/>
        </w:rPr>
        <w:t xml:space="preserve"> (2024), 131847, </w:t>
      </w:r>
      <w:hyperlink r:id="rId49" w:tgtFrame="_blank" w:history="1">
        <w:r w:rsidRPr="00311862">
          <w:rPr>
            <w:rStyle w:val="Hyperlink"/>
            <w:sz w:val="20"/>
            <w:szCs w:val="20"/>
          </w:rPr>
          <w:t>https://doi.org/10.1016/j.ijbiomac.2024.131847</w:t>
        </w:r>
      </w:hyperlink>
      <w:r w:rsidRPr="00311862">
        <w:rPr>
          <w:sz w:val="20"/>
          <w:szCs w:val="20"/>
        </w:rPr>
        <w:t>.</w:t>
      </w:r>
    </w:p>
    <w:p w14:paraId="1043A5F1" w14:textId="77777777" w:rsidR="00A41331" w:rsidRDefault="00E92B65" w:rsidP="00A41331">
      <w:pPr>
        <w:pStyle w:val="NormalWeb"/>
        <w:ind w:left="360" w:hanging="360"/>
        <w:contextualSpacing/>
        <w:jc w:val="both"/>
        <w:rPr>
          <w:sz w:val="20"/>
          <w:szCs w:val="20"/>
        </w:rPr>
      </w:pPr>
      <w:r w:rsidRPr="00311862">
        <w:rPr>
          <w:sz w:val="20"/>
          <w:szCs w:val="20"/>
        </w:rPr>
        <w:t xml:space="preserve">[18] A. Rahmani Del Bakhshayesh, A. Asadpour, S. Farzad-Mohajeri, S. Ghorbani, and M. A. Shokrgozar, In vivo </w:t>
      </w:r>
      <w:r w:rsidRPr="00311862">
        <w:rPr>
          <w:sz w:val="20"/>
          <w:szCs w:val="20"/>
        </w:rPr>
        <w:lastRenderedPageBreak/>
        <w:t xml:space="preserve">guided bone regeneration by a 3D-printed TCP/PCL scaffold in a customized rabbit calvarial defect model. </w:t>
      </w:r>
      <w:r w:rsidRPr="00311862">
        <w:rPr>
          <w:i/>
          <w:iCs/>
          <w:sz w:val="20"/>
          <w:szCs w:val="20"/>
        </w:rPr>
        <w:t>Mater Sci Eng C Mater Biol Appl</w:t>
      </w:r>
      <w:r w:rsidRPr="00311862">
        <w:rPr>
          <w:sz w:val="20"/>
          <w:szCs w:val="20"/>
        </w:rPr>
        <w:t xml:space="preserve"> 110 (2020), 110688, </w:t>
      </w:r>
      <w:hyperlink r:id="rId50" w:tgtFrame="_blank" w:history="1">
        <w:r w:rsidRPr="00311862">
          <w:rPr>
            <w:rStyle w:val="Hyperlink"/>
            <w:sz w:val="20"/>
            <w:szCs w:val="20"/>
          </w:rPr>
          <w:t>https://doi.org/10.1016/j.msec.2020.110688</w:t>
        </w:r>
      </w:hyperlink>
      <w:r w:rsidRPr="00311862">
        <w:rPr>
          <w:sz w:val="20"/>
          <w:szCs w:val="20"/>
        </w:rPr>
        <w:t>.</w:t>
      </w:r>
    </w:p>
    <w:p w14:paraId="35DB3D4A" w14:textId="77777777" w:rsidR="00A41331" w:rsidRDefault="00E92B65" w:rsidP="00A41331">
      <w:pPr>
        <w:pStyle w:val="NormalWeb"/>
        <w:ind w:left="360" w:hanging="360"/>
        <w:contextualSpacing/>
        <w:jc w:val="both"/>
        <w:rPr>
          <w:rStyle w:val="Hyperlink"/>
          <w:sz w:val="20"/>
          <w:szCs w:val="20"/>
        </w:rPr>
      </w:pPr>
      <w:r w:rsidRPr="00311862">
        <w:rPr>
          <w:sz w:val="20"/>
          <w:szCs w:val="20"/>
        </w:rPr>
        <w:t xml:space="preserve">[19] M. Janmohammadi, Z. Nazemi, A. O. M. Salehi, A. Seyfoori, J. V. John, M. S. Nourbakhsh, and M. Akbari, Cellulose-based composite scaffolds for bone tissue engineering and localized drug delivery. </w:t>
      </w:r>
      <w:r w:rsidRPr="00311862">
        <w:rPr>
          <w:i/>
          <w:iCs/>
          <w:sz w:val="20"/>
          <w:szCs w:val="20"/>
        </w:rPr>
        <w:t>Bioact Mater</w:t>
      </w:r>
      <w:r w:rsidRPr="00311862">
        <w:rPr>
          <w:sz w:val="20"/>
          <w:szCs w:val="20"/>
        </w:rPr>
        <w:t xml:space="preserve"> 20 (2023),137-163, </w:t>
      </w:r>
      <w:r w:rsidRPr="00A41331">
        <w:rPr>
          <w:rStyle w:val="Hyperlink"/>
          <w:sz w:val="20"/>
          <w:szCs w:val="20"/>
        </w:rPr>
        <w:t>https://doi.org/10.1016/j.bioactmat.2022.05.018.</w:t>
      </w:r>
    </w:p>
    <w:p w14:paraId="7C6AA8F9" w14:textId="77777777" w:rsidR="00A41331" w:rsidRDefault="00183867" w:rsidP="00A41331">
      <w:pPr>
        <w:pStyle w:val="NormalWeb"/>
        <w:ind w:left="360" w:hanging="360"/>
        <w:contextualSpacing/>
        <w:jc w:val="both"/>
        <w:rPr>
          <w:sz w:val="20"/>
          <w:szCs w:val="20"/>
        </w:rPr>
      </w:pPr>
      <w:r w:rsidRPr="00311862">
        <w:rPr>
          <w:sz w:val="20"/>
          <w:szCs w:val="20"/>
        </w:rPr>
        <w:t>[20] M. P. Nikolova, and M. S. Chavali, Recent advances in biomaterials for 3D scaffolds: A revie</w:t>
      </w:r>
      <w:bookmarkStart w:id="11" w:name="_GoBack"/>
      <w:bookmarkEnd w:id="11"/>
      <w:r w:rsidRPr="00311862">
        <w:rPr>
          <w:sz w:val="20"/>
          <w:szCs w:val="20"/>
        </w:rPr>
        <w:t xml:space="preserve">w. </w:t>
      </w:r>
      <w:r w:rsidRPr="00311862">
        <w:rPr>
          <w:i/>
          <w:iCs/>
          <w:sz w:val="20"/>
          <w:szCs w:val="20"/>
        </w:rPr>
        <w:t>Bioact Mater</w:t>
      </w:r>
      <w:r w:rsidR="00A41331">
        <w:rPr>
          <w:sz w:val="20"/>
          <w:szCs w:val="20"/>
        </w:rPr>
        <w:t xml:space="preserve"> 4 (2019)271-</w:t>
      </w:r>
      <w:r w:rsidRPr="00311862">
        <w:rPr>
          <w:sz w:val="20"/>
          <w:szCs w:val="20"/>
        </w:rPr>
        <w:t>292,</w:t>
      </w:r>
      <w:hyperlink r:id="rId51" w:tgtFrame="_blank" w:history="1">
        <w:r w:rsidRPr="00311862">
          <w:rPr>
            <w:rStyle w:val="Hyperlink"/>
            <w:sz w:val="20"/>
            <w:szCs w:val="20"/>
          </w:rPr>
          <w:t>https://doi.org/10.1016/j.bioactmat.2019.10.005</w:t>
        </w:r>
      </w:hyperlink>
      <w:r w:rsidRPr="00311862">
        <w:rPr>
          <w:sz w:val="20"/>
          <w:szCs w:val="20"/>
        </w:rPr>
        <w:t>.</w:t>
      </w:r>
    </w:p>
    <w:p w14:paraId="1DEE1C84" w14:textId="77777777" w:rsidR="00A41331" w:rsidRDefault="00183867" w:rsidP="00A41331">
      <w:pPr>
        <w:pStyle w:val="NormalWeb"/>
        <w:ind w:left="360" w:hanging="360"/>
        <w:contextualSpacing/>
        <w:jc w:val="both"/>
        <w:rPr>
          <w:sz w:val="20"/>
          <w:szCs w:val="20"/>
        </w:rPr>
      </w:pPr>
      <w:r w:rsidRPr="00311862">
        <w:rPr>
          <w:sz w:val="20"/>
          <w:szCs w:val="20"/>
        </w:rPr>
        <w:t xml:space="preserve">[21] E. I. Biru, M. I. Necolau, A. Zainea, and H. Iovu, Graphene oxide–protein-based scaffolds for tissue engineering: recent advances and applications. </w:t>
      </w:r>
      <w:r w:rsidRPr="00311862">
        <w:rPr>
          <w:i/>
          <w:iCs/>
          <w:sz w:val="20"/>
          <w:szCs w:val="20"/>
        </w:rPr>
        <w:t>Polymers</w:t>
      </w:r>
      <w:r w:rsidRPr="00311862">
        <w:rPr>
          <w:sz w:val="20"/>
          <w:szCs w:val="20"/>
        </w:rPr>
        <w:t xml:space="preserve"> 14 (2022), 1032, </w:t>
      </w:r>
      <w:hyperlink r:id="rId52" w:tgtFrame="_blank" w:history="1">
        <w:r w:rsidRPr="00311862">
          <w:rPr>
            <w:rStyle w:val="Hyperlink"/>
            <w:sz w:val="20"/>
            <w:szCs w:val="20"/>
          </w:rPr>
          <w:t>https://doi.org/10.3390/polym14051032</w:t>
        </w:r>
      </w:hyperlink>
      <w:r w:rsidRPr="00311862">
        <w:rPr>
          <w:sz w:val="20"/>
          <w:szCs w:val="20"/>
        </w:rPr>
        <w:t>.</w:t>
      </w:r>
    </w:p>
    <w:p w14:paraId="4B164569" w14:textId="77777777" w:rsidR="00A41331" w:rsidRDefault="00183867" w:rsidP="00A41331">
      <w:pPr>
        <w:pStyle w:val="NormalWeb"/>
        <w:ind w:left="360" w:hanging="360"/>
        <w:contextualSpacing/>
        <w:jc w:val="both"/>
        <w:rPr>
          <w:sz w:val="20"/>
          <w:szCs w:val="20"/>
        </w:rPr>
      </w:pPr>
      <w:r w:rsidRPr="00311862">
        <w:rPr>
          <w:sz w:val="20"/>
          <w:szCs w:val="20"/>
        </w:rPr>
        <w:t xml:space="preserve">[22] M. R. Bogala, Three-dimensional (3D) printing of hydroxyapatite-based scaffolds: a review. </w:t>
      </w:r>
      <w:r w:rsidRPr="00311862">
        <w:rPr>
          <w:i/>
          <w:iCs/>
          <w:sz w:val="20"/>
          <w:szCs w:val="20"/>
        </w:rPr>
        <w:t>Bioprinting</w:t>
      </w:r>
      <w:r w:rsidR="0010728C">
        <w:rPr>
          <w:sz w:val="20"/>
          <w:szCs w:val="20"/>
        </w:rPr>
        <w:t xml:space="preserve"> 28 (2022),</w:t>
      </w:r>
      <w:r w:rsidRPr="00311862">
        <w:rPr>
          <w:sz w:val="20"/>
          <w:szCs w:val="20"/>
        </w:rPr>
        <w:t xml:space="preserve">e00244, </w:t>
      </w:r>
      <w:hyperlink r:id="rId53" w:tgtFrame="_blank" w:history="1">
        <w:r w:rsidRPr="00311862">
          <w:rPr>
            <w:rStyle w:val="Hyperlink"/>
            <w:sz w:val="20"/>
            <w:szCs w:val="20"/>
          </w:rPr>
          <w:t>https://doi.org/10.1016/j.bprint.2022.e00244</w:t>
        </w:r>
      </w:hyperlink>
      <w:r w:rsidRPr="00311862">
        <w:rPr>
          <w:sz w:val="20"/>
          <w:szCs w:val="20"/>
        </w:rPr>
        <w:t>.</w:t>
      </w:r>
    </w:p>
    <w:p w14:paraId="3DFB0703" w14:textId="77777777" w:rsidR="00A41331" w:rsidRDefault="00183867" w:rsidP="00A41331">
      <w:pPr>
        <w:pStyle w:val="NormalWeb"/>
        <w:ind w:left="360" w:hanging="360"/>
        <w:contextualSpacing/>
        <w:jc w:val="both"/>
        <w:rPr>
          <w:sz w:val="20"/>
          <w:szCs w:val="20"/>
        </w:rPr>
      </w:pPr>
      <w:r w:rsidRPr="00311862">
        <w:rPr>
          <w:sz w:val="20"/>
          <w:szCs w:val="20"/>
        </w:rPr>
        <w:t xml:space="preserve">[23] G. Kastania, P. S. Georgiou, S. G. Antimisiaris, and A. G. Tsolakisa, Polyelectrolyte Multilayer Capsule (PEMC)-Based Scaffolds for Tissue Engineering. </w:t>
      </w:r>
      <w:r w:rsidRPr="00311862">
        <w:rPr>
          <w:i/>
          <w:iCs/>
          <w:sz w:val="20"/>
          <w:szCs w:val="20"/>
        </w:rPr>
        <w:t>Micromachines</w:t>
      </w:r>
      <w:r w:rsidRPr="00311862">
        <w:rPr>
          <w:sz w:val="20"/>
          <w:szCs w:val="20"/>
        </w:rPr>
        <w:t xml:space="preserve"> 11 (2020), 797, </w:t>
      </w:r>
      <w:hyperlink r:id="rId54" w:tgtFrame="_blank" w:history="1">
        <w:r w:rsidRPr="00311862">
          <w:rPr>
            <w:rStyle w:val="Hyperlink"/>
            <w:sz w:val="20"/>
            <w:szCs w:val="20"/>
          </w:rPr>
          <w:t>https://doi.org/10.3390/mi11090797</w:t>
        </w:r>
      </w:hyperlink>
      <w:r w:rsidRPr="00311862">
        <w:rPr>
          <w:sz w:val="20"/>
          <w:szCs w:val="20"/>
        </w:rPr>
        <w:t>.</w:t>
      </w:r>
    </w:p>
    <w:p w14:paraId="3767B35B" w14:textId="77777777" w:rsidR="00A41331" w:rsidRDefault="00183867" w:rsidP="00A41331">
      <w:pPr>
        <w:pStyle w:val="NormalWeb"/>
        <w:ind w:left="360" w:hanging="360"/>
        <w:contextualSpacing/>
        <w:jc w:val="both"/>
        <w:rPr>
          <w:sz w:val="20"/>
          <w:szCs w:val="20"/>
        </w:rPr>
      </w:pPr>
      <w:r w:rsidRPr="00311862">
        <w:rPr>
          <w:sz w:val="20"/>
          <w:szCs w:val="20"/>
        </w:rPr>
        <w:t xml:space="preserve">[24] N. Jan, A. Madni, A. Rahim, M. A. Tahir, M. J. A. Khan, A. T. Shah, M. I. Khan, and M. I. U. Din, In vitro anti-leukemic assessment and sustained release behaviour of cytarabine loaded biodegradable polymer based nanoparticles. </w:t>
      </w:r>
      <w:r w:rsidRPr="00311862">
        <w:rPr>
          <w:i/>
          <w:iCs/>
          <w:sz w:val="20"/>
          <w:szCs w:val="20"/>
        </w:rPr>
        <w:t>Life Sci</w:t>
      </w:r>
      <w:r w:rsidRPr="00311862">
        <w:rPr>
          <w:sz w:val="20"/>
          <w:szCs w:val="20"/>
        </w:rPr>
        <w:t xml:space="preserve"> 267 (2021), 118971, </w:t>
      </w:r>
      <w:hyperlink r:id="rId55" w:tgtFrame="_blank" w:history="1">
        <w:r w:rsidRPr="00311862">
          <w:rPr>
            <w:rStyle w:val="Hyperlink"/>
            <w:sz w:val="20"/>
            <w:szCs w:val="20"/>
          </w:rPr>
          <w:t>https://doi.org/10.1016/j.lfs.2020.118971</w:t>
        </w:r>
      </w:hyperlink>
      <w:r w:rsidRPr="00311862">
        <w:rPr>
          <w:sz w:val="20"/>
          <w:szCs w:val="20"/>
        </w:rPr>
        <w:t>.</w:t>
      </w:r>
      <w:r w:rsidR="0010728C">
        <w:rPr>
          <w:sz w:val="20"/>
          <w:szCs w:val="20"/>
        </w:rPr>
        <w:t xml:space="preserve"> </w:t>
      </w:r>
    </w:p>
    <w:p w14:paraId="2A767308" w14:textId="77777777" w:rsidR="00A41331" w:rsidRDefault="00183867" w:rsidP="00A41331">
      <w:pPr>
        <w:pStyle w:val="NormalWeb"/>
        <w:ind w:left="360" w:hanging="360"/>
        <w:contextualSpacing/>
        <w:rPr>
          <w:sz w:val="20"/>
          <w:szCs w:val="20"/>
        </w:rPr>
      </w:pPr>
      <w:r w:rsidRPr="00311862">
        <w:rPr>
          <w:sz w:val="20"/>
          <w:szCs w:val="20"/>
        </w:rPr>
        <w:t xml:space="preserve">[25] M. Cheng, J. Janzekovic, R. Finze, M. Mohseni, S. Saifzadeh, F. M. Savi, O. Ung, M. Wagels, and D. W. Hutmacher, Conceptualizing scaffold guided breast tissue regeneration in a preclinical large animal model. </w:t>
      </w:r>
      <w:r w:rsidRPr="00311862">
        <w:rPr>
          <w:i/>
          <w:iCs/>
          <w:sz w:val="20"/>
          <w:szCs w:val="20"/>
        </w:rPr>
        <w:t>Bioengineering</w:t>
      </w:r>
      <w:r w:rsidRPr="00311862">
        <w:rPr>
          <w:sz w:val="20"/>
          <w:szCs w:val="20"/>
        </w:rPr>
        <w:t xml:space="preserve"> 11 (2024), 593, </w:t>
      </w:r>
      <w:hyperlink r:id="rId56" w:tgtFrame="_blank" w:history="1">
        <w:r w:rsidRPr="00311862">
          <w:rPr>
            <w:rStyle w:val="Hyperlink"/>
            <w:sz w:val="20"/>
            <w:szCs w:val="20"/>
          </w:rPr>
          <w:t>https://doi.org/10.3390/bioengineering11060593</w:t>
        </w:r>
      </w:hyperlink>
      <w:r w:rsidRPr="00311862">
        <w:rPr>
          <w:sz w:val="20"/>
          <w:szCs w:val="20"/>
        </w:rPr>
        <w:t>.</w:t>
      </w:r>
      <w:r w:rsidR="0010728C">
        <w:rPr>
          <w:sz w:val="20"/>
          <w:szCs w:val="20"/>
        </w:rPr>
        <w:t xml:space="preserve"> </w:t>
      </w:r>
    </w:p>
    <w:p w14:paraId="5F119FED" w14:textId="77777777" w:rsidR="00A41331" w:rsidRDefault="00183867" w:rsidP="00A41331">
      <w:pPr>
        <w:pStyle w:val="NormalWeb"/>
        <w:ind w:left="360" w:hanging="360"/>
        <w:contextualSpacing/>
        <w:jc w:val="both"/>
        <w:rPr>
          <w:sz w:val="20"/>
          <w:szCs w:val="20"/>
        </w:rPr>
      </w:pPr>
      <w:r w:rsidRPr="00311862">
        <w:rPr>
          <w:sz w:val="20"/>
          <w:szCs w:val="20"/>
        </w:rPr>
        <w:t xml:space="preserve">[26] M. C. Socci, G. Rodríguez, E. Oliva, S. Fushimi, K. Takabatake, H. Nagatsuka, C. J. Felice, and A. P. Rodríguez, Polymeric Materials, Advances and Applications in Tissue Engineering: A Review. </w:t>
      </w:r>
      <w:r w:rsidRPr="00311862">
        <w:rPr>
          <w:i/>
          <w:iCs/>
          <w:sz w:val="20"/>
          <w:szCs w:val="20"/>
        </w:rPr>
        <w:t>Bioengineering</w:t>
      </w:r>
      <w:r w:rsidRPr="00311862">
        <w:rPr>
          <w:sz w:val="20"/>
          <w:szCs w:val="20"/>
        </w:rPr>
        <w:t xml:space="preserve"> 10 (2023), 218, </w:t>
      </w:r>
      <w:hyperlink r:id="rId57" w:tgtFrame="_blank" w:history="1">
        <w:r w:rsidRPr="00311862">
          <w:rPr>
            <w:rStyle w:val="Hyperlink"/>
            <w:sz w:val="20"/>
            <w:szCs w:val="20"/>
          </w:rPr>
          <w:t>https://doi.org/10.3390/bioengineering10020218</w:t>
        </w:r>
      </w:hyperlink>
      <w:r w:rsidRPr="00311862">
        <w:rPr>
          <w:sz w:val="20"/>
          <w:szCs w:val="20"/>
        </w:rPr>
        <w:t xml:space="preserve">.[27] A. Lima, H. Sousa, J. Monteiro, R. Azevedo, R. Medeiros, and V. Seabra, Genetic polymorphisms in low-dose methotrexate transporters: current relevance as methotrexate therapeutic outcome biomarkers. </w:t>
      </w:r>
      <w:r w:rsidRPr="00311862">
        <w:rPr>
          <w:i/>
          <w:iCs/>
          <w:sz w:val="20"/>
          <w:szCs w:val="20"/>
        </w:rPr>
        <w:t>Pharmacogenomics</w:t>
      </w:r>
      <w:r w:rsidRPr="00311862">
        <w:rPr>
          <w:sz w:val="20"/>
          <w:szCs w:val="20"/>
        </w:rPr>
        <w:t xml:space="preserve"> 15 (2014), 1611-1635, </w:t>
      </w:r>
      <w:hyperlink r:id="rId58" w:tgtFrame="_blank" w:history="1">
        <w:r w:rsidRPr="00311862">
          <w:rPr>
            <w:rStyle w:val="Hyperlink"/>
            <w:sz w:val="20"/>
            <w:szCs w:val="20"/>
          </w:rPr>
          <w:t>https://doi.org/10.2217/pgs.14.116</w:t>
        </w:r>
      </w:hyperlink>
      <w:r w:rsidRPr="00311862">
        <w:rPr>
          <w:sz w:val="20"/>
          <w:szCs w:val="20"/>
        </w:rPr>
        <w:t>.</w:t>
      </w:r>
    </w:p>
    <w:p w14:paraId="254F6E92" w14:textId="77777777" w:rsidR="00A41331" w:rsidRDefault="00183867" w:rsidP="00A41331">
      <w:pPr>
        <w:pStyle w:val="NormalWeb"/>
        <w:ind w:left="360" w:hanging="360"/>
        <w:contextualSpacing/>
        <w:jc w:val="both"/>
        <w:rPr>
          <w:sz w:val="20"/>
          <w:szCs w:val="20"/>
        </w:rPr>
      </w:pPr>
      <w:r w:rsidRPr="00311862">
        <w:rPr>
          <w:sz w:val="20"/>
          <w:szCs w:val="20"/>
        </w:rPr>
        <w:t xml:space="preserve">[28] N. A. Hussein, H. A. Badran, S. A. Kamil, and R. C. Abo-Alhal, Preparation and evaluation in vitro release of sodium alginate/chitosan polyelectrolyte microparticles containing rifampicin and theoretical study using DFT. </w:t>
      </w:r>
      <w:r w:rsidRPr="00311862">
        <w:rPr>
          <w:i/>
          <w:iCs/>
          <w:sz w:val="20"/>
          <w:szCs w:val="20"/>
        </w:rPr>
        <w:t>Iraqi Journal of Science</w:t>
      </w:r>
      <w:r w:rsidRPr="00311862">
        <w:rPr>
          <w:sz w:val="20"/>
          <w:szCs w:val="20"/>
        </w:rPr>
        <w:t xml:space="preserve"> 64 (2023), 1795-1811, </w:t>
      </w:r>
      <w:hyperlink r:id="rId59" w:tgtFrame="_blank" w:history="1">
        <w:r w:rsidRPr="00311862">
          <w:rPr>
            <w:rStyle w:val="Hyperlink"/>
            <w:sz w:val="20"/>
            <w:szCs w:val="20"/>
          </w:rPr>
          <w:t>https://doi.org/10.24996/ijs.2023.64.4.25</w:t>
        </w:r>
      </w:hyperlink>
      <w:r w:rsidRPr="00311862">
        <w:rPr>
          <w:sz w:val="20"/>
          <w:szCs w:val="20"/>
        </w:rPr>
        <w:t>.</w:t>
      </w:r>
    </w:p>
    <w:p w14:paraId="4FE7D070" w14:textId="55AC9E12" w:rsidR="00FC51BA" w:rsidRDefault="00183867" w:rsidP="0052771F">
      <w:pPr>
        <w:pStyle w:val="NormalWeb"/>
        <w:ind w:left="360" w:hanging="360"/>
        <w:contextualSpacing/>
        <w:jc w:val="both"/>
        <w:rPr>
          <w:rFonts w:asciiTheme="majorBidi" w:hAnsiTheme="majorBidi" w:cstheme="majorBidi"/>
          <w:sz w:val="20"/>
          <w:szCs w:val="20"/>
        </w:rPr>
      </w:pPr>
      <w:r w:rsidRPr="00311862">
        <w:rPr>
          <w:sz w:val="20"/>
          <w:szCs w:val="20"/>
        </w:rPr>
        <w:t xml:space="preserve">[29] N. A. Hussein, and A. K. Numa, Preparation and evaluation of polyurethane scaffolds containing gelatin microspheres with cefotaxime sodium delivery for bone reatment. </w:t>
      </w:r>
      <w:r w:rsidRPr="00311862">
        <w:rPr>
          <w:i/>
          <w:iCs/>
          <w:sz w:val="20"/>
          <w:szCs w:val="20"/>
        </w:rPr>
        <w:t>Iraqi Journal of Pharmaceutical Sciences</w:t>
      </w:r>
      <w:r w:rsidRPr="00311862">
        <w:rPr>
          <w:sz w:val="20"/>
          <w:szCs w:val="20"/>
        </w:rPr>
        <w:t xml:space="preserve"> 23 (2014), 70-79.</w:t>
      </w:r>
      <w:r w:rsidR="00862C5E" w:rsidRPr="00862C5E">
        <w:rPr>
          <w:rFonts w:asciiTheme="majorBidi" w:hAnsiTheme="majorBidi" w:cstheme="majorBidi"/>
          <w:sz w:val="20"/>
          <w:szCs w:val="20"/>
          <w:lang w:bidi="ar-IQ"/>
        </w:rPr>
        <w:fldChar w:fldCharType="end"/>
      </w:r>
    </w:p>
    <w:sectPr w:rsidR="00FC51BA" w:rsidSect="00147D94">
      <w:type w:val="continuous"/>
      <w:pgSz w:w="11906" w:h="16838" w:code="9"/>
      <w:pgMar w:top="965" w:right="763" w:bottom="1238" w:left="763" w:header="720" w:footer="576" w:gutter="0"/>
      <w:cols w:num="2" w:space="36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81994" w14:textId="77777777" w:rsidR="00E07747" w:rsidRDefault="00E07747">
      <w:r>
        <w:separator/>
      </w:r>
    </w:p>
  </w:endnote>
  <w:endnote w:type="continuationSeparator" w:id="0">
    <w:p w14:paraId="0E4153FA" w14:textId="77777777" w:rsidR="00E07747" w:rsidRDefault="00E07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3">
    <w:altName w:val="MS Gothic"/>
    <w:panose1 w:val="00000000000000000000"/>
    <w:charset w:val="00"/>
    <w:family w:val="roman"/>
    <w:notTrueType/>
    <w:pitch w:val="default"/>
  </w:font>
  <w:font w:name="ltr-fon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Italic r:id="rId1" w:subsetted="1" w:fontKey="{42B22B79-4ADF-4C47-A9F8-CC7E3AA636E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B6BF4" w14:textId="77777777" w:rsidR="006E3DCC" w:rsidRDefault="000B29B7">
    <w:pPr>
      <w:pStyle w:val="Footer"/>
      <w:jc w:val="center"/>
    </w:pPr>
    <w:r>
      <w:fldChar w:fldCharType="begin"/>
    </w:r>
    <w:r w:rsidR="006E3DCC">
      <w:instrText xml:space="preserve"> PAGE   \* MERGEFORMAT </w:instrText>
    </w:r>
    <w:r>
      <w:fldChar w:fldCharType="separate"/>
    </w:r>
    <w:r w:rsidR="009A0194">
      <w:rPr>
        <w:noProof/>
      </w:rPr>
      <w:t>8</w:t>
    </w:r>
    <w:r>
      <w:rPr>
        <w:noProof/>
      </w:rPr>
      <w:fldChar w:fldCharType="end"/>
    </w:r>
  </w:p>
  <w:p w14:paraId="291971CB" w14:textId="77777777" w:rsidR="00015903" w:rsidRDefault="000159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356153"/>
      <w:docPartObj>
        <w:docPartGallery w:val="Page Numbers (Bottom of Page)"/>
        <w:docPartUnique/>
      </w:docPartObj>
    </w:sdtPr>
    <w:sdtEndPr>
      <w:rPr>
        <w:noProof/>
      </w:rPr>
    </w:sdtEndPr>
    <w:sdtContent>
      <w:p w14:paraId="161BB9FC" w14:textId="4E28283F" w:rsidR="00D855AF" w:rsidRDefault="000B29B7" w:rsidP="004B0709">
        <w:pPr>
          <w:pStyle w:val="Footer"/>
          <w:jc w:val="center"/>
        </w:pPr>
        <w:r>
          <w:fldChar w:fldCharType="begin"/>
        </w:r>
        <w:r w:rsidR="00D855AF">
          <w:instrText xml:space="preserve"> PAGE   \* MERGEFORMAT </w:instrText>
        </w:r>
        <w:r>
          <w:fldChar w:fldCharType="separate"/>
        </w:r>
        <w:r w:rsidR="00A95C4F">
          <w:rPr>
            <w:noProof/>
          </w:rPr>
          <w:t>469</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5EF0" w14:textId="06AFCBE0" w:rsidR="009A0194" w:rsidRDefault="003D1A64" w:rsidP="009A0194">
    <w:r>
      <w:rPr>
        <w:noProof/>
      </w:rPr>
      <mc:AlternateContent>
        <mc:Choice Requires="wps">
          <w:drawing>
            <wp:anchor distT="4294967293" distB="4294967293" distL="114300" distR="114300" simplePos="0" relativeHeight="251659264" behindDoc="0" locked="0" layoutInCell="1" allowOverlap="1" wp14:anchorId="3818FEDD" wp14:editId="4F18D4FD">
              <wp:simplePos x="0" y="0"/>
              <wp:positionH relativeFrom="column">
                <wp:posOffset>-141605</wp:posOffset>
              </wp:positionH>
              <wp:positionV relativeFrom="paragraph">
                <wp:posOffset>145414</wp:posOffset>
              </wp:positionV>
              <wp:extent cx="6926580" cy="0"/>
              <wp:effectExtent l="0" t="0" r="0" b="0"/>
              <wp:wrapNone/>
              <wp:docPr id="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2658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C068A6" id="Straight Connector 7"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1.15pt,11.45pt" to="534.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" strokecolor="black [3200]" strokeweight=".5pt">
              <v:stroke joinstyle="miter"/>
              <o:lock v:ext="edit" shapetype="f"/>
            </v:line>
          </w:pict>
        </mc:Fallback>
      </mc:AlternateContent>
    </w:r>
  </w:p>
  <w:p w14:paraId="5EE9DB4D" w14:textId="1226D087" w:rsidR="009A0194" w:rsidRPr="004C42E7" w:rsidRDefault="009A0194" w:rsidP="00D855AF">
    <w:pPr>
      <w:tabs>
        <w:tab w:val="left" w:pos="1320"/>
      </w:tabs>
      <w:rPr>
        <w:rFonts w:asciiTheme="majorBidi" w:hAnsiTheme="majorBidi" w:cstheme="majorBidi"/>
        <w:color w:val="000000" w:themeColor="text1"/>
        <w:sz w:val="20"/>
        <w:szCs w:val="20"/>
        <w:rtl/>
      </w:rPr>
    </w:pPr>
    <w:r w:rsidRPr="009271BB">
      <w:rPr>
        <w:rFonts w:asciiTheme="majorBidi" w:hAnsiTheme="majorBidi" w:cstheme="majorBidi"/>
        <w:color w:val="000000" w:themeColor="text1"/>
        <w:sz w:val="20"/>
        <w:szCs w:val="20"/>
      </w:rPr>
      <w:sym w:font="Symbol" w:char="F02A"/>
    </w:r>
    <w:r w:rsidRPr="009271BB">
      <w:rPr>
        <w:rFonts w:asciiTheme="majorBidi" w:hAnsiTheme="majorBidi" w:cstheme="majorBidi"/>
        <w:color w:val="000000" w:themeColor="text1"/>
        <w:sz w:val="20"/>
        <w:szCs w:val="20"/>
      </w:rPr>
      <w:t xml:space="preserve"> Correspondi</w:t>
    </w:r>
    <w:r>
      <w:rPr>
        <w:rFonts w:asciiTheme="majorBidi" w:hAnsiTheme="majorBidi" w:cstheme="majorBidi"/>
        <w:color w:val="000000" w:themeColor="text1"/>
        <w:sz w:val="20"/>
        <w:szCs w:val="20"/>
      </w:rPr>
      <w:t>ng author</w:t>
    </w:r>
    <w:r w:rsidR="00D855AF">
      <w:rPr>
        <w:rFonts w:asciiTheme="majorBidi" w:hAnsiTheme="majorBidi" w:cstheme="majorBidi"/>
        <w:color w:val="000000" w:themeColor="text1"/>
        <w:sz w:val="20"/>
        <w:szCs w:val="20"/>
      </w:rPr>
      <w:t xml:space="preserve"> </w:t>
    </w:r>
    <w:r w:rsidR="001B7170">
      <w:rPr>
        <w:rFonts w:asciiTheme="majorBidi" w:hAnsiTheme="majorBidi" w:cstheme="majorBidi"/>
        <w:color w:val="000000" w:themeColor="text1"/>
        <w:sz w:val="20"/>
        <w:szCs w:val="20"/>
      </w:rPr>
      <w:t>E</w:t>
    </w:r>
    <w:r w:rsidRPr="009271BB">
      <w:rPr>
        <w:rFonts w:asciiTheme="majorBidi" w:hAnsiTheme="majorBidi" w:cstheme="majorBidi"/>
        <w:color w:val="000000" w:themeColor="text1"/>
        <w:sz w:val="20"/>
        <w:szCs w:val="20"/>
      </w:rPr>
      <w:t xml:space="preserve">-mail: </w:t>
    </w:r>
    <w:r w:rsidR="00D12105" w:rsidRPr="00D12105">
      <w:rPr>
        <w:rFonts w:asciiTheme="majorBidi" w:hAnsiTheme="majorBidi" w:cstheme="majorBidi"/>
        <w:color w:val="000000" w:themeColor="text1"/>
        <w:sz w:val="20"/>
        <w:szCs w:val="20"/>
      </w:rPr>
      <w:t>mariam.maged1605a@sc.uobaghdad.edu.iq</w:t>
    </w:r>
  </w:p>
  <w:p w14:paraId="4C8F0911" w14:textId="011A6C52" w:rsidR="009A0194" w:rsidRPr="00750085" w:rsidRDefault="009A0194" w:rsidP="00C875A0">
    <w:pPr>
      <w:pStyle w:val="Footer"/>
      <w:rPr>
        <w:color w:val="2E74B5" w:themeColor="accent1" w:themeShade="BF"/>
        <w:u w:val="single"/>
      </w:rPr>
    </w:pPr>
    <w:r w:rsidRPr="00750085">
      <w:rPr>
        <w:rFonts w:asciiTheme="majorBidi" w:hAnsiTheme="majorBidi" w:cstheme="majorBidi"/>
        <w:sz w:val="20"/>
        <w:szCs w:val="20"/>
      </w:rPr>
      <w:t>https://doi.org/</w:t>
    </w:r>
    <w:hyperlink r:id="rId1" w:history="1">
      <w:r w:rsidR="00750085">
        <w:rPr>
          <w:rStyle w:val="Hyperlink"/>
          <w:rFonts w:ascii="ltr-font" w:hAnsi="ltr-font"/>
          <w:caps/>
          <w:sz w:val="20"/>
          <w:szCs w:val="20"/>
          <w:shd w:val="clear" w:color="auto" w:fill="FFFFFF"/>
        </w:rPr>
        <w:t>10.22034/crl.2024.486426.1463</w:t>
      </w:r>
    </w:hyperlink>
  </w:p>
  <w:p w14:paraId="265BA0D4" w14:textId="77777777" w:rsidR="009A0194" w:rsidRPr="00BD4586" w:rsidRDefault="009A0194" w:rsidP="009A0194">
    <w:pPr>
      <w:pStyle w:val="Footer"/>
      <w:rPr>
        <w:rStyle w:val="Hyperlink"/>
        <w:rFonts w:asciiTheme="majorBidi" w:hAnsiTheme="majorBidi" w:cstheme="majorBidi"/>
        <w:color w:val="000000"/>
        <w:sz w:val="20"/>
        <w:szCs w:val="20"/>
      </w:rPr>
    </w:pPr>
    <w:r w:rsidRPr="00BD4586">
      <w:rPr>
        <w:rFonts w:asciiTheme="majorBidi" w:hAnsiTheme="majorBidi" w:cstheme="majorBidi"/>
        <w:noProof/>
        <w:sz w:val="20"/>
        <w:szCs w:val="20"/>
        <w:lang w:bidi="ar-SA"/>
      </w:rPr>
      <w:drawing>
        <wp:inline distT="0" distB="0" distL="0" distR="0" wp14:anchorId="31F642D9" wp14:editId="4F6F3B26">
          <wp:extent cx="657225" cy="122617"/>
          <wp:effectExtent l="19050" t="0" r="0" b="0"/>
          <wp:docPr id="1" name="Picture 10" descr="cc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jpg"/>
                  <pic:cNvPicPr/>
                </pic:nvPicPr>
                <pic:blipFill>
                  <a:blip r:embed="rId2"/>
                  <a:stretch>
                    <a:fillRect/>
                  </a:stretch>
                </pic:blipFill>
                <pic:spPr>
                  <a:xfrm>
                    <a:off x="0" y="0"/>
                    <a:ext cx="666807" cy="124405"/>
                  </a:xfrm>
                  <a:prstGeom prst="rect">
                    <a:avLst/>
                  </a:prstGeom>
                </pic:spPr>
              </pic:pic>
            </a:graphicData>
          </a:graphic>
        </wp:inline>
      </w:drawing>
    </w:r>
    <w:r w:rsidRPr="00BD4586">
      <w:rPr>
        <w:rFonts w:asciiTheme="majorBidi" w:hAnsiTheme="majorBidi" w:cstheme="majorBidi"/>
        <w:noProof/>
        <w:sz w:val="20"/>
        <w:szCs w:val="20"/>
      </w:rPr>
      <w:t xml:space="preserve">   This work is licensed under </w:t>
    </w:r>
    <w:hyperlink r:id="rId3" w:tooltip="Creative Commons license CC-BY 4.0" w:history="1">
      <w:r w:rsidRPr="00BD4586">
        <w:rPr>
          <w:rStyle w:val="Hyperlink"/>
          <w:rFonts w:asciiTheme="majorBidi" w:hAnsiTheme="majorBidi" w:cstheme="majorBidi"/>
          <w:color w:val="000000"/>
          <w:sz w:val="20"/>
          <w:szCs w:val="20"/>
        </w:rPr>
        <w:t>Creative Commons license CC-BY 4.0</w:t>
      </w:r>
    </w:hyperlink>
  </w:p>
  <w:sdt>
    <w:sdtPr>
      <w:id w:val="-33654151"/>
      <w:docPartObj>
        <w:docPartGallery w:val="Page Numbers (Bottom of Page)"/>
        <w:docPartUnique/>
      </w:docPartObj>
    </w:sdtPr>
    <w:sdtEndPr>
      <w:rPr>
        <w:noProof/>
      </w:rPr>
    </w:sdtEndPr>
    <w:sdtContent>
      <w:p w14:paraId="37A385E3" w14:textId="745D8E42" w:rsidR="001F2E20" w:rsidRDefault="000B29B7" w:rsidP="004B0709">
        <w:pPr>
          <w:pStyle w:val="Footer"/>
          <w:jc w:val="center"/>
        </w:pPr>
        <w:r w:rsidRPr="00BD4586">
          <w:fldChar w:fldCharType="begin"/>
        </w:r>
        <w:r w:rsidR="009A0194" w:rsidRPr="00BD4586">
          <w:instrText xml:space="preserve"> PAGE   \* MERGEFORMAT </w:instrText>
        </w:r>
        <w:r w:rsidRPr="00BD4586">
          <w:fldChar w:fldCharType="separate"/>
        </w:r>
        <w:r w:rsidR="0052771F">
          <w:rPr>
            <w:noProof/>
          </w:rPr>
          <w:t>460</w:t>
        </w:r>
        <w:r w:rsidRPr="00BD4586">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52009" w14:textId="77777777" w:rsidR="00E07747" w:rsidRPr="00502756" w:rsidRDefault="00E07747" w:rsidP="00502756">
      <w:pPr>
        <w:pStyle w:val="Footer"/>
      </w:pPr>
    </w:p>
  </w:footnote>
  <w:footnote w:type="continuationSeparator" w:id="0">
    <w:p w14:paraId="686D4B6F" w14:textId="77777777" w:rsidR="00E07747" w:rsidRDefault="00E07747">
      <w:r>
        <w:t>———</w:t>
      </w:r>
    </w:p>
  </w:footnote>
  <w:footnote w:type="continuationNotice" w:id="1">
    <w:p w14:paraId="78B6480C" w14:textId="77777777" w:rsidR="00E07747" w:rsidRDefault="00E0774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A0CB4" w14:textId="77777777" w:rsidR="00015903" w:rsidRDefault="000B29B7">
    <w:pPr>
      <w:framePr w:wrap="around" w:vAnchor="text" w:hAnchor="margin" w:xAlign="right" w:y="1"/>
    </w:pPr>
    <w:r>
      <w:fldChar w:fldCharType="begin"/>
    </w:r>
    <w:r w:rsidR="00015903">
      <w:instrText xml:space="preserve">PAGE  </w:instrText>
    </w:r>
    <w:r>
      <w:fldChar w:fldCharType="separate"/>
    </w:r>
    <w:r w:rsidR="00015903">
      <w:rPr>
        <w:noProof/>
      </w:rPr>
      <w:t>2</w:t>
    </w:r>
    <w:r>
      <w:fldChar w:fldCharType="end"/>
    </w:r>
  </w:p>
  <w:p w14:paraId="24261E26" w14:textId="77777777" w:rsidR="00015903" w:rsidRDefault="00015903">
    <w:pP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A7D4B" w14:textId="0AEF6569" w:rsidR="00D51353" w:rsidRPr="00D51353" w:rsidRDefault="00D51353" w:rsidP="0052771F">
    <w:pPr>
      <w:tabs>
        <w:tab w:val="center" w:pos="4680"/>
        <w:tab w:val="right" w:pos="9360"/>
      </w:tabs>
      <w:jc w:val="center"/>
      <w:rPr>
        <w:b/>
        <w:bCs/>
      </w:rPr>
    </w:pPr>
    <w:r w:rsidRPr="00D51353">
      <w:rPr>
        <w:b/>
        <w:bCs/>
        <w:i/>
        <w:iCs/>
        <w:sz w:val="20"/>
        <w:szCs w:val="20"/>
      </w:rPr>
      <w:t>Chem Rev Lett</w:t>
    </w:r>
    <w:r w:rsidRPr="00D51353">
      <w:rPr>
        <w:b/>
        <w:bCs/>
      </w:rPr>
      <w:t xml:space="preserve"> </w:t>
    </w:r>
    <w:r w:rsidRPr="00D51353">
      <w:rPr>
        <w:b/>
        <w:bCs/>
        <w:i/>
        <w:iCs/>
        <w:sz w:val="20"/>
        <w:szCs w:val="20"/>
      </w:rPr>
      <w:t xml:space="preserve">8 (2025) </w:t>
    </w:r>
    <w:r w:rsidR="002250CB">
      <w:rPr>
        <w:b/>
        <w:bCs/>
        <w:i/>
        <w:iCs/>
        <w:sz w:val="20"/>
        <w:szCs w:val="20"/>
      </w:rPr>
      <w:t>460</w:t>
    </w:r>
    <w:r w:rsidRPr="00D51353">
      <w:rPr>
        <w:b/>
        <w:bCs/>
        <w:i/>
        <w:iCs/>
        <w:sz w:val="20"/>
        <w:szCs w:val="20"/>
      </w:rPr>
      <w:t>-</w:t>
    </w:r>
    <w:r w:rsidR="002250CB">
      <w:rPr>
        <w:b/>
        <w:bCs/>
        <w:i/>
        <w:iCs/>
        <w:sz w:val="20"/>
        <w:szCs w:val="20"/>
      </w:rPr>
      <w:t>46</w:t>
    </w:r>
    <w:r w:rsidR="0052771F">
      <w:rPr>
        <w:b/>
        <w:bCs/>
        <w:i/>
        <w:iCs/>
        <w:sz w:val="20"/>
        <w:szCs w:val="20"/>
      </w:rPr>
      <w:t>9</w:t>
    </w:r>
  </w:p>
  <w:p w14:paraId="217BD186" w14:textId="77777777" w:rsidR="00015903" w:rsidRPr="00261328" w:rsidRDefault="00015903" w:rsidP="0026132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7016B" w14:textId="62F4F591" w:rsidR="00D51353" w:rsidRPr="00D51353" w:rsidRDefault="00D51353" w:rsidP="00D51353">
    <w:pPr>
      <w:tabs>
        <w:tab w:val="center" w:pos="4680"/>
        <w:tab w:val="right" w:pos="9360"/>
      </w:tabs>
      <w:jc w:val="center"/>
      <w:rPr>
        <w:b/>
        <w:bCs/>
      </w:rPr>
    </w:pPr>
    <w:r w:rsidRPr="00D51353">
      <w:rPr>
        <w:b/>
        <w:bCs/>
        <w:i/>
        <w:iCs/>
        <w:sz w:val="20"/>
        <w:szCs w:val="20"/>
      </w:rPr>
      <w:t>Chem Rev Lett</w:t>
    </w:r>
    <w:r w:rsidRPr="00D51353">
      <w:rPr>
        <w:b/>
        <w:bCs/>
      </w:rPr>
      <w:t xml:space="preserve"> </w:t>
    </w:r>
    <w:r w:rsidRPr="00D51353">
      <w:rPr>
        <w:b/>
        <w:bCs/>
        <w:i/>
        <w:iCs/>
        <w:sz w:val="20"/>
        <w:szCs w:val="20"/>
      </w:rPr>
      <w:t xml:space="preserve">8 (2025) </w:t>
    </w:r>
    <w:r w:rsidR="002250CB">
      <w:rPr>
        <w:b/>
        <w:bCs/>
        <w:i/>
        <w:iCs/>
        <w:sz w:val="20"/>
        <w:szCs w:val="20"/>
      </w:rPr>
      <w:t>460</w:t>
    </w:r>
    <w:r w:rsidRPr="00D51353">
      <w:rPr>
        <w:b/>
        <w:bCs/>
        <w:i/>
        <w:iCs/>
        <w:sz w:val="20"/>
        <w:szCs w:val="20"/>
      </w:rPr>
      <w:t>-</w:t>
    </w:r>
    <w:r w:rsidR="002250CB">
      <w:rPr>
        <w:b/>
        <w:bCs/>
        <w:i/>
        <w:iCs/>
        <w:sz w:val="20"/>
        <w:szCs w:val="20"/>
      </w:rPr>
      <w:t>468</w:t>
    </w:r>
  </w:p>
  <w:p w14:paraId="5DE83B43" w14:textId="77777777" w:rsidR="00D855AF" w:rsidRPr="00D51353" w:rsidRDefault="00D855AF" w:rsidP="00D5135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71EC9" w14:textId="77777777" w:rsidR="00015903" w:rsidRDefault="00015903">
    <w:pPr>
      <w:framePr w:wrap="around" w:vAnchor="text" w:hAnchor="margin" w:xAlign="outside" w:y="1"/>
    </w:pPr>
  </w:p>
  <w:p w14:paraId="7C34AC6E" w14:textId="77777777" w:rsidR="00261328" w:rsidRDefault="00261328" w:rsidP="00261328">
    <w:pPr>
      <w:pStyle w:val="Header"/>
      <w:jc w:val="center"/>
      <w:rPr>
        <w:b/>
        <w:bCs/>
      </w:rPr>
    </w:pPr>
    <w:r>
      <w:rPr>
        <w:b/>
        <w:bCs/>
        <w:sz w:val="20"/>
        <w:szCs w:val="20"/>
      </w:rPr>
      <w:t>J. Chem. Lett.</w:t>
    </w:r>
    <w:r>
      <w:rPr>
        <w:b/>
        <w:bCs/>
      </w:rPr>
      <w:t xml:space="preserve"> </w:t>
    </w:r>
    <w:r>
      <w:rPr>
        <w:b/>
        <w:bCs/>
        <w:sz w:val="20"/>
        <w:szCs w:val="20"/>
      </w:rPr>
      <w:t>1 (2020) xxx</w:t>
    </w:r>
  </w:p>
  <w:p w14:paraId="0BC7E6A2" w14:textId="77777777" w:rsidR="00015903" w:rsidRDefault="00015903" w:rsidP="002E2D31">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5BB3"/>
    <w:multiLevelType w:val="multilevel"/>
    <w:tmpl w:val="E65A8A1E"/>
    <w:lvl w:ilvl="0">
      <w:start w:val="1"/>
      <w:numFmt w:val="decimal"/>
      <w:lvlText w:val="%1."/>
      <w:lvlJc w:val="left"/>
      <w:pPr>
        <w:ind w:left="502" w:hanging="360"/>
      </w:pPr>
      <w:rPr>
        <w:b/>
        <w:bCs/>
        <w:lang w:bidi="ar-IQ"/>
      </w:rPr>
    </w:lvl>
    <w:lvl w:ilvl="1">
      <w:start w:val="1"/>
      <w:numFmt w:val="decimal"/>
      <w:lvlText w:val="%1.%2."/>
      <w:lvlJc w:val="left"/>
      <w:pPr>
        <w:ind w:left="844" w:hanging="432"/>
      </w:pPr>
      <w:rPr>
        <w:rFonts w:hint="default"/>
        <w:b/>
        <w:bCs/>
      </w:rPr>
    </w:lvl>
    <w:lvl w:ilvl="2">
      <w:start w:val="1"/>
      <w:numFmt w:val="decimal"/>
      <w:lvlText w:val="%1.%2.%3."/>
      <w:lvlJc w:val="left"/>
      <w:pPr>
        <w:ind w:left="645" w:hanging="504"/>
      </w:pPr>
      <w:rPr>
        <w:rFonts w:hint="default"/>
        <w:b/>
        <w:bCs/>
      </w:rPr>
    </w:lvl>
    <w:lvl w:ilvl="3">
      <w:start w:val="1"/>
      <w:numFmt w:val="decimal"/>
      <w:lvlText w:val="%1.%2.%3.%4."/>
      <w:lvlJc w:val="left"/>
      <w:pPr>
        <w:ind w:left="1780" w:hanging="648"/>
      </w:pPr>
      <w:rPr>
        <w:rFonts w:hint="default"/>
      </w:rPr>
    </w:lvl>
    <w:lvl w:ilvl="4">
      <w:start w:val="1"/>
      <w:numFmt w:val="decimal"/>
      <w:lvlText w:val="%1.%2.%3.%4.%5."/>
      <w:lvlJc w:val="left"/>
      <w:pPr>
        <w:ind w:left="2284" w:hanging="792"/>
      </w:pPr>
      <w:rPr>
        <w:rFonts w:hint="default"/>
      </w:rPr>
    </w:lvl>
    <w:lvl w:ilvl="5">
      <w:start w:val="1"/>
      <w:numFmt w:val="decimal"/>
      <w:lvlText w:val="%1.%2.%3.%4.%5.%6."/>
      <w:lvlJc w:val="left"/>
      <w:pPr>
        <w:ind w:left="2788" w:hanging="936"/>
      </w:pPr>
      <w:rPr>
        <w:rFonts w:hint="default"/>
      </w:rPr>
    </w:lvl>
    <w:lvl w:ilvl="6">
      <w:start w:val="1"/>
      <w:numFmt w:val="decimal"/>
      <w:lvlText w:val="%1.%2.%3.%4.%5.%6.%7."/>
      <w:lvlJc w:val="left"/>
      <w:pPr>
        <w:ind w:left="3292" w:hanging="1080"/>
      </w:pPr>
      <w:rPr>
        <w:rFonts w:hint="default"/>
      </w:rPr>
    </w:lvl>
    <w:lvl w:ilvl="7">
      <w:start w:val="1"/>
      <w:numFmt w:val="decimal"/>
      <w:lvlText w:val="%1.%2.%3.%4.%5.%6.%7.%8."/>
      <w:lvlJc w:val="left"/>
      <w:pPr>
        <w:ind w:left="3796" w:hanging="1224"/>
      </w:pPr>
      <w:rPr>
        <w:rFonts w:hint="default"/>
      </w:rPr>
    </w:lvl>
    <w:lvl w:ilvl="8">
      <w:start w:val="1"/>
      <w:numFmt w:val="decimal"/>
      <w:lvlText w:val="%1.%2.%3.%4.%5.%6.%7.%8.%9."/>
      <w:lvlJc w:val="left"/>
      <w:pPr>
        <w:ind w:left="4372" w:hanging="1440"/>
      </w:pPr>
      <w:rPr>
        <w:rFonts w:hint="default"/>
      </w:rPr>
    </w:lvl>
  </w:abstractNum>
  <w:abstractNum w:abstractNumId="1" w15:restartNumberingAfterBreak="0">
    <w:nsid w:val="0D98299B"/>
    <w:multiLevelType w:val="hybridMultilevel"/>
    <w:tmpl w:val="98FC9C9A"/>
    <w:lvl w:ilvl="0" w:tplc="2B4C668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F3C9C"/>
    <w:multiLevelType w:val="hybridMultilevel"/>
    <w:tmpl w:val="F5B0EABA"/>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 w15:restartNumberingAfterBreak="0">
    <w:nsid w:val="21D064FE"/>
    <w:multiLevelType w:val="hybridMultilevel"/>
    <w:tmpl w:val="FD62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DF4295"/>
    <w:multiLevelType w:val="hybridMultilevel"/>
    <w:tmpl w:val="3E0249A0"/>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5" w15:restartNumberingAfterBreak="0">
    <w:nsid w:val="3A035482"/>
    <w:multiLevelType w:val="hybridMultilevel"/>
    <w:tmpl w:val="50649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4D2391"/>
    <w:multiLevelType w:val="multilevel"/>
    <w:tmpl w:val="6B96EE78"/>
    <w:lvl w:ilvl="0">
      <w:start w:val="4"/>
      <w:numFmt w:val="decimal"/>
      <w:lvlText w:val="%1"/>
      <w:lvlJc w:val="left"/>
      <w:pPr>
        <w:ind w:left="480" w:hanging="480"/>
      </w:pPr>
      <w:rPr>
        <w:rFonts w:hint="default"/>
      </w:rPr>
    </w:lvl>
    <w:lvl w:ilvl="1">
      <w:start w:val="2"/>
      <w:numFmt w:val="decimal"/>
      <w:lvlText w:val="%1.%2"/>
      <w:lvlJc w:val="left"/>
      <w:pPr>
        <w:ind w:left="550" w:hanging="48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7" w15:restartNumberingAfterBreak="0">
    <w:nsid w:val="47747680"/>
    <w:multiLevelType w:val="multilevel"/>
    <w:tmpl w:val="A58C759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A91259"/>
    <w:multiLevelType w:val="hybridMultilevel"/>
    <w:tmpl w:val="12D61F20"/>
    <w:lvl w:ilvl="0" w:tplc="52805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EB81CDB"/>
    <w:multiLevelType w:val="multilevel"/>
    <w:tmpl w:val="6E08C93C"/>
    <w:lvl w:ilvl="0">
      <w:start w:val="4"/>
      <w:numFmt w:val="decimal"/>
      <w:lvlText w:val="%1"/>
      <w:lvlJc w:val="left"/>
      <w:pPr>
        <w:ind w:left="502"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2B369B9"/>
    <w:multiLevelType w:val="hybridMultilevel"/>
    <w:tmpl w:val="FB38297A"/>
    <w:lvl w:ilvl="0" w:tplc="B7A23DBC">
      <w:start w:val="1"/>
      <w:numFmt w:val="decimal"/>
      <w:pStyle w:val="Tref"/>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F19164E"/>
    <w:multiLevelType w:val="hybridMultilevel"/>
    <w:tmpl w:val="E1F4E610"/>
    <w:lvl w:ilvl="0" w:tplc="2B4C668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AB3989"/>
    <w:multiLevelType w:val="multilevel"/>
    <w:tmpl w:val="00F4F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D73031"/>
    <w:multiLevelType w:val="hybridMultilevel"/>
    <w:tmpl w:val="29A05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10335D"/>
    <w:multiLevelType w:val="hybridMultilevel"/>
    <w:tmpl w:val="5B16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D9652CE"/>
    <w:multiLevelType w:val="hybridMultilevel"/>
    <w:tmpl w:val="E5C8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20" w15:restartNumberingAfterBreak="0">
    <w:nsid w:val="79E215B4"/>
    <w:multiLevelType w:val="hybridMultilevel"/>
    <w:tmpl w:val="A2A65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CC4577"/>
    <w:multiLevelType w:val="hybridMultilevel"/>
    <w:tmpl w:val="5922DE78"/>
    <w:lvl w:ilvl="0" w:tplc="A3E8A778">
      <w:start w:val="4"/>
      <w:numFmt w:val="decimal"/>
      <w:lvlText w:val="%1."/>
      <w:lvlJc w:val="left"/>
      <w:pPr>
        <w:ind w:left="502" w:hanging="360"/>
      </w:pPr>
      <w:rPr>
        <w:rFonts w:hint="default"/>
      </w:rPr>
    </w:lvl>
    <w:lvl w:ilvl="1" w:tplc="04090019">
      <w:start w:val="1"/>
      <w:numFmt w:val="lowerLetter"/>
      <w:lvlText w:val="%2."/>
      <w:lvlJc w:val="left"/>
      <w:pPr>
        <w:ind w:left="1211"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9"/>
  </w:num>
  <w:num w:numId="2">
    <w:abstractNumId w:val="11"/>
  </w:num>
  <w:num w:numId="3">
    <w:abstractNumId w:val="19"/>
  </w:num>
  <w:num w:numId="4">
    <w:abstractNumId w:val="17"/>
  </w:num>
  <w:num w:numId="5">
    <w:abstractNumId w:val="9"/>
  </w:num>
  <w:num w:numId="6">
    <w:abstractNumId w:val="9"/>
  </w:num>
  <w:num w:numId="7">
    <w:abstractNumId w:val="9"/>
  </w:num>
  <w:num w:numId="8">
    <w:abstractNumId w:val="9"/>
  </w:num>
  <w:num w:numId="9">
    <w:abstractNumId w:val="3"/>
  </w:num>
  <w:num w:numId="10">
    <w:abstractNumId w:val="18"/>
  </w:num>
  <w:num w:numId="11">
    <w:abstractNumId w:val="20"/>
  </w:num>
  <w:num w:numId="12">
    <w:abstractNumId w:val="5"/>
  </w:num>
  <w:num w:numId="13">
    <w:abstractNumId w:val="15"/>
  </w:num>
  <w:num w:numId="14">
    <w:abstractNumId w:val="12"/>
  </w:num>
  <w:num w:numId="15">
    <w:abstractNumId w:val="16"/>
  </w:num>
  <w:num w:numId="16">
    <w:abstractNumId w:val="13"/>
  </w:num>
  <w:num w:numId="17">
    <w:abstractNumId w:val="1"/>
  </w:num>
  <w:num w:numId="18">
    <w:abstractNumId w:val="14"/>
  </w:num>
  <w:num w:numId="19">
    <w:abstractNumId w:val="7"/>
  </w:num>
  <w:num w:numId="20">
    <w:abstractNumId w:val="4"/>
  </w:num>
  <w:num w:numId="21">
    <w:abstractNumId w:val="2"/>
  </w:num>
  <w:num w:numId="22">
    <w:abstractNumId w:val="8"/>
  </w:num>
  <w:num w:numId="23">
    <w:abstractNumId w:val="0"/>
  </w:num>
  <w:num w:numId="24">
    <w:abstractNumId w:val="21"/>
  </w:num>
  <w:num w:numId="25">
    <w:abstractNumId w:val="10"/>
  </w:num>
  <w:num w:numId="2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en-US" w:vendorID="64" w:dllVersion="5" w:nlCheck="1" w:checkStyle="1"/>
  <w:activeWritingStyle w:appName="MSWord" w:lang="en-US" w:vendorID="64" w:dllVersion="6"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s-AR" w:vendorID="64" w:dllVersion="0" w:nlCheck="1" w:checkStyle="0"/>
  <w:activeWritingStyle w:appName="MSWord" w:lang="es-AR" w:vendorID="64" w:dllVersion="6" w:nlCheck="1" w:checkStyle="0"/>
  <w:activeWritingStyle w:appName="MSWord" w:lang="en-US" w:vendorID="64" w:dllVersion="4096" w:nlCheck="1" w:checkStyle="0"/>
  <w:activeWritingStyle w:appName="MSWord" w:lang="es-AR" w:vendorID="64" w:dllVersion="4096" w:nlCheck="1" w:checkStyle="0"/>
  <w:activeWritingStyle w:appName="MSWord" w:lang="en-BZ" w:vendorID="64" w:dllVersion="4096" w:nlCheck="1" w:checkStyle="0"/>
  <w:activeWritingStyle w:appName="MSWord" w:lang="ar-IQ" w:vendorID="64" w:dllVersion="4096" w:nlCheck="1" w:checkStyle="0"/>
  <w:activeWritingStyle w:appName="MSWord" w:lang="en-US" w:vendorID="64" w:dllVersion="131078" w:nlCheck="1" w:checkStyle="0"/>
  <w:activeWritingStyle w:appName="MSWord" w:lang="es-AR" w:vendorID="64" w:dllVersion="131078" w:nlCheck="1" w:checkStyle="0"/>
  <w:activeWritingStyle w:appName="MSWord" w:lang="en-US" w:vendorID="8" w:dllVersion="513" w:checkStyle="1"/>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648"/>
    <w:rsid w:val="00010412"/>
    <w:rsid w:val="00015903"/>
    <w:rsid w:val="00016477"/>
    <w:rsid w:val="000168B4"/>
    <w:rsid w:val="00032A93"/>
    <w:rsid w:val="00041068"/>
    <w:rsid w:val="00047AF0"/>
    <w:rsid w:val="00051589"/>
    <w:rsid w:val="00052E7F"/>
    <w:rsid w:val="00056651"/>
    <w:rsid w:val="000610B6"/>
    <w:rsid w:val="000623D5"/>
    <w:rsid w:val="00063648"/>
    <w:rsid w:val="000673E0"/>
    <w:rsid w:val="000709ED"/>
    <w:rsid w:val="00072D30"/>
    <w:rsid w:val="0007335E"/>
    <w:rsid w:val="00074A06"/>
    <w:rsid w:val="00086631"/>
    <w:rsid w:val="00087300"/>
    <w:rsid w:val="000923E3"/>
    <w:rsid w:val="00097371"/>
    <w:rsid w:val="000A014C"/>
    <w:rsid w:val="000A7033"/>
    <w:rsid w:val="000A7100"/>
    <w:rsid w:val="000B2159"/>
    <w:rsid w:val="000B29B7"/>
    <w:rsid w:val="000B7809"/>
    <w:rsid w:val="000C54C2"/>
    <w:rsid w:val="000D02C1"/>
    <w:rsid w:val="000D5530"/>
    <w:rsid w:val="000E0730"/>
    <w:rsid w:val="000E0FAA"/>
    <w:rsid w:val="000E57C9"/>
    <w:rsid w:val="000F29D3"/>
    <w:rsid w:val="000F3A83"/>
    <w:rsid w:val="00100BF9"/>
    <w:rsid w:val="00101BC5"/>
    <w:rsid w:val="0010728C"/>
    <w:rsid w:val="00111234"/>
    <w:rsid w:val="001136EF"/>
    <w:rsid w:val="001144B2"/>
    <w:rsid w:val="001228A8"/>
    <w:rsid w:val="0012400A"/>
    <w:rsid w:val="00131D64"/>
    <w:rsid w:val="00132DE6"/>
    <w:rsid w:val="001377A4"/>
    <w:rsid w:val="00140E31"/>
    <w:rsid w:val="001413E5"/>
    <w:rsid w:val="001423F4"/>
    <w:rsid w:val="001426B2"/>
    <w:rsid w:val="00144EE5"/>
    <w:rsid w:val="00147D94"/>
    <w:rsid w:val="001514C5"/>
    <w:rsid w:val="0015451A"/>
    <w:rsid w:val="00155DE8"/>
    <w:rsid w:val="00156240"/>
    <w:rsid w:val="0016166F"/>
    <w:rsid w:val="00164A67"/>
    <w:rsid w:val="0017000B"/>
    <w:rsid w:val="001714C0"/>
    <w:rsid w:val="00174D58"/>
    <w:rsid w:val="001806DC"/>
    <w:rsid w:val="00183867"/>
    <w:rsid w:val="001A0857"/>
    <w:rsid w:val="001A0A92"/>
    <w:rsid w:val="001A2CE3"/>
    <w:rsid w:val="001A3A05"/>
    <w:rsid w:val="001B28CC"/>
    <w:rsid w:val="001B7170"/>
    <w:rsid w:val="001C3011"/>
    <w:rsid w:val="001D2413"/>
    <w:rsid w:val="001D5CFF"/>
    <w:rsid w:val="001D5F80"/>
    <w:rsid w:val="001D7BBD"/>
    <w:rsid w:val="001E1E69"/>
    <w:rsid w:val="001E230B"/>
    <w:rsid w:val="001E3BC4"/>
    <w:rsid w:val="001E48A0"/>
    <w:rsid w:val="001E4BDB"/>
    <w:rsid w:val="001E562B"/>
    <w:rsid w:val="001E688D"/>
    <w:rsid w:val="001F1C6E"/>
    <w:rsid w:val="001F2E20"/>
    <w:rsid w:val="001F49F1"/>
    <w:rsid w:val="001F547A"/>
    <w:rsid w:val="001F6088"/>
    <w:rsid w:val="001F7F0B"/>
    <w:rsid w:val="00203E75"/>
    <w:rsid w:val="00204142"/>
    <w:rsid w:val="002050DA"/>
    <w:rsid w:val="00207179"/>
    <w:rsid w:val="002107A6"/>
    <w:rsid w:val="002114D0"/>
    <w:rsid w:val="002134A2"/>
    <w:rsid w:val="0021578E"/>
    <w:rsid w:val="0022457F"/>
    <w:rsid w:val="002250CB"/>
    <w:rsid w:val="0022614F"/>
    <w:rsid w:val="002279EA"/>
    <w:rsid w:val="00230EE2"/>
    <w:rsid w:val="002409A5"/>
    <w:rsid w:val="00243A2A"/>
    <w:rsid w:val="002523AB"/>
    <w:rsid w:val="0025676E"/>
    <w:rsid w:val="00260708"/>
    <w:rsid w:val="00261026"/>
    <w:rsid w:val="00261328"/>
    <w:rsid w:val="00262770"/>
    <w:rsid w:val="00265AA3"/>
    <w:rsid w:val="0027385F"/>
    <w:rsid w:val="0027454D"/>
    <w:rsid w:val="0027576E"/>
    <w:rsid w:val="00277D04"/>
    <w:rsid w:val="002813C8"/>
    <w:rsid w:val="0028347F"/>
    <w:rsid w:val="00286178"/>
    <w:rsid w:val="00287082"/>
    <w:rsid w:val="00294717"/>
    <w:rsid w:val="002A63E3"/>
    <w:rsid w:val="002B2C07"/>
    <w:rsid w:val="002B519B"/>
    <w:rsid w:val="002C70A8"/>
    <w:rsid w:val="002D69F7"/>
    <w:rsid w:val="002E2D31"/>
    <w:rsid w:val="002E4810"/>
    <w:rsid w:val="002F2B42"/>
    <w:rsid w:val="002F4195"/>
    <w:rsid w:val="00310F84"/>
    <w:rsid w:val="00312D27"/>
    <w:rsid w:val="0031742D"/>
    <w:rsid w:val="003176EE"/>
    <w:rsid w:val="00317A1C"/>
    <w:rsid w:val="00317FB1"/>
    <w:rsid w:val="003237E7"/>
    <w:rsid w:val="00336B28"/>
    <w:rsid w:val="00342564"/>
    <w:rsid w:val="00346548"/>
    <w:rsid w:val="00347BC1"/>
    <w:rsid w:val="00355F7A"/>
    <w:rsid w:val="00357F66"/>
    <w:rsid w:val="003762D5"/>
    <w:rsid w:val="00380531"/>
    <w:rsid w:val="00385695"/>
    <w:rsid w:val="00386E08"/>
    <w:rsid w:val="003875AB"/>
    <w:rsid w:val="00391402"/>
    <w:rsid w:val="003917AF"/>
    <w:rsid w:val="003A33E3"/>
    <w:rsid w:val="003A4C3C"/>
    <w:rsid w:val="003A55F5"/>
    <w:rsid w:val="003A7B3B"/>
    <w:rsid w:val="003B2634"/>
    <w:rsid w:val="003B380E"/>
    <w:rsid w:val="003B3D67"/>
    <w:rsid w:val="003B454B"/>
    <w:rsid w:val="003B7741"/>
    <w:rsid w:val="003B77A5"/>
    <w:rsid w:val="003C0E16"/>
    <w:rsid w:val="003C25EE"/>
    <w:rsid w:val="003C4433"/>
    <w:rsid w:val="003D13BF"/>
    <w:rsid w:val="003D1A64"/>
    <w:rsid w:val="003D1D61"/>
    <w:rsid w:val="003E0771"/>
    <w:rsid w:val="003E1327"/>
    <w:rsid w:val="003F031E"/>
    <w:rsid w:val="003F0A6C"/>
    <w:rsid w:val="003F674C"/>
    <w:rsid w:val="004009AF"/>
    <w:rsid w:val="00407B33"/>
    <w:rsid w:val="00410C65"/>
    <w:rsid w:val="004110F5"/>
    <w:rsid w:val="00413577"/>
    <w:rsid w:val="004144A5"/>
    <w:rsid w:val="00416E30"/>
    <w:rsid w:val="0042278C"/>
    <w:rsid w:val="00422B7F"/>
    <w:rsid w:val="00431525"/>
    <w:rsid w:val="00434725"/>
    <w:rsid w:val="004348CB"/>
    <w:rsid w:val="00434DC1"/>
    <w:rsid w:val="00437ECD"/>
    <w:rsid w:val="0044024C"/>
    <w:rsid w:val="00441159"/>
    <w:rsid w:val="00443F7D"/>
    <w:rsid w:val="00452525"/>
    <w:rsid w:val="00464807"/>
    <w:rsid w:val="00474D47"/>
    <w:rsid w:val="00476A64"/>
    <w:rsid w:val="00487C98"/>
    <w:rsid w:val="0049131C"/>
    <w:rsid w:val="00495CB5"/>
    <w:rsid w:val="004B0709"/>
    <w:rsid w:val="004B5D5A"/>
    <w:rsid w:val="004C3385"/>
    <w:rsid w:val="004C6A7D"/>
    <w:rsid w:val="004D0E12"/>
    <w:rsid w:val="004D24BB"/>
    <w:rsid w:val="004D3BD2"/>
    <w:rsid w:val="004D4526"/>
    <w:rsid w:val="004D534B"/>
    <w:rsid w:val="004D6422"/>
    <w:rsid w:val="004D65DC"/>
    <w:rsid w:val="004F2C27"/>
    <w:rsid w:val="00502756"/>
    <w:rsid w:val="0050610A"/>
    <w:rsid w:val="00506BA7"/>
    <w:rsid w:val="00511645"/>
    <w:rsid w:val="00521CF8"/>
    <w:rsid w:val="00522BFC"/>
    <w:rsid w:val="0052771F"/>
    <w:rsid w:val="00527FFE"/>
    <w:rsid w:val="00530DDE"/>
    <w:rsid w:val="00532869"/>
    <w:rsid w:val="00532E07"/>
    <w:rsid w:val="00537472"/>
    <w:rsid w:val="005609F7"/>
    <w:rsid w:val="00564FB6"/>
    <w:rsid w:val="0057149F"/>
    <w:rsid w:val="00577A57"/>
    <w:rsid w:val="005831FC"/>
    <w:rsid w:val="005874F7"/>
    <w:rsid w:val="005875B8"/>
    <w:rsid w:val="005950A5"/>
    <w:rsid w:val="005A0876"/>
    <w:rsid w:val="005A09DA"/>
    <w:rsid w:val="005B32B6"/>
    <w:rsid w:val="005D2925"/>
    <w:rsid w:val="005D58A5"/>
    <w:rsid w:val="005F0EE4"/>
    <w:rsid w:val="005F7834"/>
    <w:rsid w:val="006079F7"/>
    <w:rsid w:val="00611A20"/>
    <w:rsid w:val="0061204E"/>
    <w:rsid w:val="006127AB"/>
    <w:rsid w:val="00612F98"/>
    <w:rsid w:val="00615775"/>
    <w:rsid w:val="0062436A"/>
    <w:rsid w:val="00624C86"/>
    <w:rsid w:val="00626E22"/>
    <w:rsid w:val="00627E34"/>
    <w:rsid w:val="00633D9B"/>
    <w:rsid w:val="00637118"/>
    <w:rsid w:val="0063798B"/>
    <w:rsid w:val="00647B33"/>
    <w:rsid w:val="00654488"/>
    <w:rsid w:val="006550FD"/>
    <w:rsid w:val="006564AC"/>
    <w:rsid w:val="00656C51"/>
    <w:rsid w:val="00657361"/>
    <w:rsid w:val="00662C55"/>
    <w:rsid w:val="00662CAE"/>
    <w:rsid w:val="006734C7"/>
    <w:rsid w:val="00674B0A"/>
    <w:rsid w:val="00680D86"/>
    <w:rsid w:val="00686396"/>
    <w:rsid w:val="00686533"/>
    <w:rsid w:val="0068726C"/>
    <w:rsid w:val="00687420"/>
    <w:rsid w:val="00687A64"/>
    <w:rsid w:val="00697A5F"/>
    <w:rsid w:val="006A50FD"/>
    <w:rsid w:val="006A722E"/>
    <w:rsid w:val="006C41C2"/>
    <w:rsid w:val="006C5AA8"/>
    <w:rsid w:val="006C6698"/>
    <w:rsid w:val="006D520B"/>
    <w:rsid w:val="006E1DD8"/>
    <w:rsid w:val="006E24F7"/>
    <w:rsid w:val="006E3DCC"/>
    <w:rsid w:val="006F2D24"/>
    <w:rsid w:val="006F507A"/>
    <w:rsid w:val="007018FB"/>
    <w:rsid w:val="00701DD0"/>
    <w:rsid w:val="00703C87"/>
    <w:rsid w:val="00704748"/>
    <w:rsid w:val="007076B6"/>
    <w:rsid w:val="007122AE"/>
    <w:rsid w:val="007149BF"/>
    <w:rsid w:val="0071577A"/>
    <w:rsid w:val="007171A6"/>
    <w:rsid w:val="00730C99"/>
    <w:rsid w:val="007320D4"/>
    <w:rsid w:val="00732965"/>
    <w:rsid w:val="00750085"/>
    <w:rsid w:val="007538E1"/>
    <w:rsid w:val="00756068"/>
    <w:rsid w:val="00756BB9"/>
    <w:rsid w:val="00756F8F"/>
    <w:rsid w:val="00763DF6"/>
    <w:rsid w:val="007670EE"/>
    <w:rsid w:val="00771A65"/>
    <w:rsid w:val="007721CA"/>
    <w:rsid w:val="00772C89"/>
    <w:rsid w:val="0077671B"/>
    <w:rsid w:val="00777516"/>
    <w:rsid w:val="00777846"/>
    <w:rsid w:val="00777EDA"/>
    <w:rsid w:val="00784A9E"/>
    <w:rsid w:val="007855C5"/>
    <w:rsid w:val="00790972"/>
    <w:rsid w:val="0079340F"/>
    <w:rsid w:val="007963DC"/>
    <w:rsid w:val="007A0277"/>
    <w:rsid w:val="007A0D90"/>
    <w:rsid w:val="007A1559"/>
    <w:rsid w:val="007A1B70"/>
    <w:rsid w:val="007A2EB6"/>
    <w:rsid w:val="007B3A53"/>
    <w:rsid w:val="007C7352"/>
    <w:rsid w:val="007D3D50"/>
    <w:rsid w:val="007D5F3C"/>
    <w:rsid w:val="007D67B5"/>
    <w:rsid w:val="007D6ABE"/>
    <w:rsid w:val="007E422E"/>
    <w:rsid w:val="007E4932"/>
    <w:rsid w:val="00800EE3"/>
    <w:rsid w:val="00807438"/>
    <w:rsid w:val="008123CE"/>
    <w:rsid w:val="0081320A"/>
    <w:rsid w:val="00815AA9"/>
    <w:rsid w:val="00817249"/>
    <w:rsid w:val="00823A4F"/>
    <w:rsid w:val="00830A72"/>
    <w:rsid w:val="00832F1E"/>
    <w:rsid w:val="008411C3"/>
    <w:rsid w:val="00847612"/>
    <w:rsid w:val="008560F6"/>
    <w:rsid w:val="00856F6F"/>
    <w:rsid w:val="008576A3"/>
    <w:rsid w:val="00861C7E"/>
    <w:rsid w:val="00862C5E"/>
    <w:rsid w:val="00862D39"/>
    <w:rsid w:val="00863B8E"/>
    <w:rsid w:val="00866BE1"/>
    <w:rsid w:val="00883D86"/>
    <w:rsid w:val="00884777"/>
    <w:rsid w:val="00890C88"/>
    <w:rsid w:val="00897D4B"/>
    <w:rsid w:val="008A69E0"/>
    <w:rsid w:val="008C3F46"/>
    <w:rsid w:val="008C6359"/>
    <w:rsid w:val="008D0F60"/>
    <w:rsid w:val="008D1B69"/>
    <w:rsid w:val="008D3BF0"/>
    <w:rsid w:val="008D537A"/>
    <w:rsid w:val="008D6FFE"/>
    <w:rsid w:val="008D79F1"/>
    <w:rsid w:val="008E2CF1"/>
    <w:rsid w:val="008F1CE5"/>
    <w:rsid w:val="008F4026"/>
    <w:rsid w:val="008F642E"/>
    <w:rsid w:val="008F6875"/>
    <w:rsid w:val="008F6979"/>
    <w:rsid w:val="009010D7"/>
    <w:rsid w:val="009065C1"/>
    <w:rsid w:val="00907E45"/>
    <w:rsid w:val="00910722"/>
    <w:rsid w:val="0091362D"/>
    <w:rsid w:val="00917865"/>
    <w:rsid w:val="0092211E"/>
    <w:rsid w:val="00924CBB"/>
    <w:rsid w:val="00927F9F"/>
    <w:rsid w:val="00935128"/>
    <w:rsid w:val="009428ED"/>
    <w:rsid w:val="00944770"/>
    <w:rsid w:val="00952AF8"/>
    <w:rsid w:val="0096097A"/>
    <w:rsid w:val="009659F7"/>
    <w:rsid w:val="00985387"/>
    <w:rsid w:val="009856FC"/>
    <w:rsid w:val="00985818"/>
    <w:rsid w:val="00987237"/>
    <w:rsid w:val="009913BC"/>
    <w:rsid w:val="00992FAD"/>
    <w:rsid w:val="009943DB"/>
    <w:rsid w:val="00997C83"/>
    <w:rsid w:val="009A0194"/>
    <w:rsid w:val="009A052C"/>
    <w:rsid w:val="009A0FD6"/>
    <w:rsid w:val="009A3033"/>
    <w:rsid w:val="009B3561"/>
    <w:rsid w:val="009C2B64"/>
    <w:rsid w:val="009D534C"/>
    <w:rsid w:val="009E60E1"/>
    <w:rsid w:val="009E6C45"/>
    <w:rsid w:val="009F0C1C"/>
    <w:rsid w:val="009F116B"/>
    <w:rsid w:val="009F7F5E"/>
    <w:rsid w:val="00A003AB"/>
    <w:rsid w:val="00A01528"/>
    <w:rsid w:val="00A053D8"/>
    <w:rsid w:val="00A0575A"/>
    <w:rsid w:val="00A13EF2"/>
    <w:rsid w:val="00A20E3D"/>
    <w:rsid w:val="00A21637"/>
    <w:rsid w:val="00A23040"/>
    <w:rsid w:val="00A24921"/>
    <w:rsid w:val="00A308CB"/>
    <w:rsid w:val="00A348A5"/>
    <w:rsid w:val="00A35360"/>
    <w:rsid w:val="00A35AAC"/>
    <w:rsid w:val="00A35C2B"/>
    <w:rsid w:val="00A37557"/>
    <w:rsid w:val="00A37A62"/>
    <w:rsid w:val="00A400B6"/>
    <w:rsid w:val="00A401D9"/>
    <w:rsid w:val="00A41331"/>
    <w:rsid w:val="00A41D1C"/>
    <w:rsid w:val="00A44BEE"/>
    <w:rsid w:val="00A45EB8"/>
    <w:rsid w:val="00A50493"/>
    <w:rsid w:val="00A52B2F"/>
    <w:rsid w:val="00A546BC"/>
    <w:rsid w:val="00A5611F"/>
    <w:rsid w:val="00A57FD3"/>
    <w:rsid w:val="00A63917"/>
    <w:rsid w:val="00A6517D"/>
    <w:rsid w:val="00A6524B"/>
    <w:rsid w:val="00A7590D"/>
    <w:rsid w:val="00A7661D"/>
    <w:rsid w:val="00A824AA"/>
    <w:rsid w:val="00A82921"/>
    <w:rsid w:val="00A83EB5"/>
    <w:rsid w:val="00A8783C"/>
    <w:rsid w:val="00A90618"/>
    <w:rsid w:val="00A907F7"/>
    <w:rsid w:val="00A919EA"/>
    <w:rsid w:val="00A95C4F"/>
    <w:rsid w:val="00A97362"/>
    <w:rsid w:val="00AA00A2"/>
    <w:rsid w:val="00AA5639"/>
    <w:rsid w:val="00AA74FF"/>
    <w:rsid w:val="00AA76E4"/>
    <w:rsid w:val="00AB292F"/>
    <w:rsid w:val="00AB50D0"/>
    <w:rsid w:val="00AC21E8"/>
    <w:rsid w:val="00AC48E4"/>
    <w:rsid w:val="00AE0DAA"/>
    <w:rsid w:val="00AE168F"/>
    <w:rsid w:val="00AE6C95"/>
    <w:rsid w:val="00AF1FF2"/>
    <w:rsid w:val="00AF2C2A"/>
    <w:rsid w:val="00AF6466"/>
    <w:rsid w:val="00B00ECD"/>
    <w:rsid w:val="00B12813"/>
    <w:rsid w:val="00B21625"/>
    <w:rsid w:val="00B22173"/>
    <w:rsid w:val="00B317BD"/>
    <w:rsid w:val="00B34607"/>
    <w:rsid w:val="00B34F9A"/>
    <w:rsid w:val="00B35D1E"/>
    <w:rsid w:val="00B36F96"/>
    <w:rsid w:val="00B37E74"/>
    <w:rsid w:val="00B40C62"/>
    <w:rsid w:val="00B4111C"/>
    <w:rsid w:val="00B4211C"/>
    <w:rsid w:val="00B4554F"/>
    <w:rsid w:val="00B53406"/>
    <w:rsid w:val="00B5639D"/>
    <w:rsid w:val="00B56E36"/>
    <w:rsid w:val="00B6067B"/>
    <w:rsid w:val="00B743EB"/>
    <w:rsid w:val="00B82A32"/>
    <w:rsid w:val="00B91514"/>
    <w:rsid w:val="00B9159E"/>
    <w:rsid w:val="00BA2A6E"/>
    <w:rsid w:val="00BA2F8E"/>
    <w:rsid w:val="00BA488E"/>
    <w:rsid w:val="00BB2981"/>
    <w:rsid w:val="00BB6275"/>
    <w:rsid w:val="00BC3EEF"/>
    <w:rsid w:val="00BC60EE"/>
    <w:rsid w:val="00BC6900"/>
    <w:rsid w:val="00BD01FC"/>
    <w:rsid w:val="00BD1F3A"/>
    <w:rsid w:val="00BD4586"/>
    <w:rsid w:val="00BD4A0C"/>
    <w:rsid w:val="00BD5412"/>
    <w:rsid w:val="00BD63CC"/>
    <w:rsid w:val="00BE0F05"/>
    <w:rsid w:val="00BE1AC8"/>
    <w:rsid w:val="00BE35A6"/>
    <w:rsid w:val="00BE40DE"/>
    <w:rsid w:val="00BE516E"/>
    <w:rsid w:val="00BF1AF6"/>
    <w:rsid w:val="00BF4A64"/>
    <w:rsid w:val="00C007D5"/>
    <w:rsid w:val="00C0193B"/>
    <w:rsid w:val="00C0383E"/>
    <w:rsid w:val="00C0472E"/>
    <w:rsid w:val="00C07167"/>
    <w:rsid w:val="00C202A7"/>
    <w:rsid w:val="00C229F4"/>
    <w:rsid w:val="00C22A26"/>
    <w:rsid w:val="00C27B4D"/>
    <w:rsid w:val="00C30FFC"/>
    <w:rsid w:val="00C315A1"/>
    <w:rsid w:val="00C31E38"/>
    <w:rsid w:val="00C32219"/>
    <w:rsid w:val="00C4090B"/>
    <w:rsid w:val="00C4225C"/>
    <w:rsid w:val="00C46A3F"/>
    <w:rsid w:val="00C52649"/>
    <w:rsid w:val="00C52DC4"/>
    <w:rsid w:val="00C536D9"/>
    <w:rsid w:val="00C53D89"/>
    <w:rsid w:val="00C57072"/>
    <w:rsid w:val="00C613B4"/>
    <w:rsid w:val="00C61C8F"/>
    <w:rsid w:val="00C655FF"/>
    <w:rsid w:val="00C7761B"/>
    <w:rsid w:val="00C77B1D"/>
    <w:rsid w:val="00C821C3"/>
    <w:rsid w:val="00C8293D"/>
    <w:rsid w:val="00C843C1"/>
    <w:rsid w:val="00C8517F"/>
    <w:rsid w:val="00C875A0"/>
    <w:rsid w:val="00C9084A"/>
    <w:rsid w:val="00C92B14"/>
    <w:rsid w:val="00C96BE4"/>
    <w:rsid w:val="00CA2833"/>
    <w:rsid w:val="00CA42D0"/>
    <w:rsid w:val="00CA7085"/>
    <w:rsid w:val="00CB5E62"/>
    <w:rsid w:val="00CC1E4B"/>
    <w:rsid w:val="00CC2DC5"/>
    <w:rsid w:val="00CC50AB"/>
    <w:rsid w:val="00CC5464"/>
    <w:rsid w:val="00CC64D7"/>
    <w:rsid w:val="00CD79C7"/>
    <w:rsid w:val="00CE4321"/>
    <w:rsid w:val="00CE43F3"/>
    <w:rsid w:val="00CE577F"/>
    <w:rsid w:val="00CE6488"/>
    <w:rsid w:val="00CE7450"/>
    <w:rsid w:val="00CF4BB7"/>
    <w:rsid w:val="00D03E3A"/>
    <w:rsid w:val="00D041DC"/>
    <w:rsid w:val="00D12105"/>
    <w:rsid w:val="00D35778"/>
    <w:rsid w:val="00D363E3"/>
    <w:rsid w:val="00D40C3F"/>
    <w:rsid w:val="00D43008"/>
    <w:rsid w:val="00D44E2F"/>
    <w:rsid w:val="00D45FF3"/>
    <w:rsid w:val="00D51301"/>
    <w:rsid w:val="00D51353"/>
    <w:rsid w:val="00D52174"/>
    <w:rsid w:val="00D52A70"/>
    <w:rsid w:val="00D61D5B"/>
    <w:rsid w:val="00D67F60"/>
    <w:rsid w:val="00D7360E"/>
    <w:rsid w:val="00D751D2"/>
    <w:rsid w:val="00D77910"/>
    <w:rsid w:val="00D813C7"/>
    <w:rsid w:val="00D81F6D"/>
    <w:rsid w:val="00D822D9"/>
    <w:rsid w:val="00D847B5"/>
    <w:rsid w:val="00D855AF"/>
    <w:rsid w:val="00D95164"/>
    <w:rsid w:val="00D95FB6"/>
    <w:rsid w:val="00D9740B"/>
    <w:rsid w:val="00DA22B5"/>
    <w:rsid w:val="00DA34A1"/>
    <w:rsid w:val="00DA390F"/>
    <w:rsid w:val="00DA3941"/>
    <w:rsid w:val="00DA521E"/>
    <w:rsid w:val="00DA5E01"/>
    <w:rsid w:val="00DB10A4"/>
    <w:rsid w:val="00DB241F"/>
    <w:rsid w:val="00DB385F"/>
    <w:rsid w:val="00DC4383"/>
    <w:rsid w:val="00DC66D2"/>
    <w:rsid w:val="00DD1ED3"/>
    <w:rsid w:val="00DD2488"/>
    <w:rsid w:val="00DD2C08"/>
    <w:rsid w:val="00DD2F11"/>
    <w:rsid w:val="00DD39E9"/>
    <w:rsid w:val="00DD52C2"/>
    <w:rsid w:val="00DE2CC5"/>
    <w:rsid w:val="00DE5185"/>
    <w:rsid w:val="00DE66A9"/>
    <w:rsid w:val="00DE7053"/>
    <w:rsid w:val="00DF022F"/>
    <w:rsid w:val="00DF1876"/>
    <w:rsid w:val="00DF5576"/>
    <w:rsid w:val="00E07026"/>
    <w:rsid w:val="00E07747"/>
    <w:rsid w:val="00E131E1"/>
    <w:rsid w:val="00E1749B"/>
    <w:rsid w:val="00E229C2"/>
    <w:rsid w:val="00E23FA5"/>
    <w:rsid w:val="00E25BC5"/>
    <w:rsid w:val="00E3512B"/>
    <w:rsid w:val="00E35C4B"/>
    <w:rsid w:val="00E40B97"/>
    <w:rsid w:val="00E41CA2"/>
    <w:rsid w:val="00E43C36"/>
    <w:rsid w:val="00E45C51"/>
    <w:rsid w:val="00E4687B"/>
    <w:rsid w:val="00E5546F"/>
    <w:rsid w:val="00E60D7F"/>
    <w:rsid w:val="00E615C8"/>
    <w:rsid w:val="00E6247F"/>
    <w:rsid w:val="00E66EDC"/>
    <w:rsid w:val="00E71129"/>
    <w:rsid w:val="00E72CFD"/>
    <w:rsid w:val="00E743B2"/>
    <w:rsid w:val="00E80736"/>
    <w:rsid w:val="00E84403"/>
    <w:rsid w:val="00E85631"/>
    <w:rsid w:val="00E872DC"/>
    <w:rsid w:val="00E92B65"/>
    <w:rsid w:val="00E92C34"/>
    <w:rsid w:val="00E96744"/>
    <w:rsid w:val="00E970D2"/>
    <w:rsid w:val="00EA0269"/>
    <w:rsid w:val="00EA6CAF"/>
    <w:rsid w:val="00EA7261"/>
    <w:rsid w:val="00ED60B5"/>
    <w:rsid w:val="00EE2C2D"/>
    <w:rsid w:val="00EF2B52"/>
    <w:rsid w:val="00EF38CE"/>
    <w:rsid w:val="00F05E0A"/>
    <w:rsid w:val="00F05FA5"/>
    <w:rsid w:val="00F07B14"/>
    <w:rsid w:val="00F10286"/>
    <w:rsid w:val="00F10452"/>
    <w:rsid w:val="00F114D7"/>
    <w:rsid w:val="00F14243"/>
    <w:rsid w:val="00F34A4E"/>
    <w:rsid w:val="00F34FB4"/>
    <w:rsid w:val="00F3562F"/>
    <w:rsid w:val="00F371F7"/>
    <w:rsid w:val="00F43CE3"/>
    <w:rsid w:val="00F464C1"/>
    <w:rsid w:val="00F543CA"/>
    <w:rsid w:val="00F62815"/>
    <w:rsid w:val="00F63CDB"/>
    <w:rsid w:val="00F65BCE"/>
    <w:rsid w:val="00F67C05"/>
    <w:rsid w:val="00F67F57"/>
    <w:rsid w:val="00F73F43"/>
    <w:rsid w:val="00F77CF0"/>
    <w:rsid w:val="00F9063A"/>
    <w:rsid w:val="00F95A7A"/>
    <w:rsid w:val="00F969A2"/>
    <w:rsid w:val="00FA21D7"/>
    <w:rsid w:val="00FA2754"/>
    <w:rsid w:val="00FA7201"/>
    <w:rsid w:val="00FB2AC7"/>
    <w:rsid w:val="00FB4602"/>
    <w:rsid w:val="00FB5B95"/>
    <w:rsid w:val="00FB7040"/>
    <w:rsid w:val="00FC3664"/>
    <w:rsid w:val="00FC4F38"/>
    <w:rsid w:val="00FC51BA"/>
    <w:rsid w:val="00FD6C68"/>
    <w:rsid w:val="00FE16F3"/>
    <w:rsid w:val="00FE70D8"/>
    <w:rsid w:val="00FF07A3"/>
    <w:rsid w:val="00FF2121"/>
    <w:rsid w:val="00FF353D"/>
    <w:rsid w:val="00FF6A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4:docId w14:val="34AD2F00"/>
  <w15:docId w15:val="{31642632-AF2E-4DBE-A75B-1109AC4D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14F"/>
    <w:rPr>
      <w:sz w:val="24"/>
      <w:szCs w:val="24"/>
      <w:lang w:bidi="ar-SA"/>
    </w:rPr>
  </w:style>
  <w:style w:type="paragraph" w:styleId="Heading1">
    <w:name w:val="heading 1"/>
    <w:basedOn w:val="Normal"/>
    <w:next w:val="Normal"/>
    <w:qFormat/>
    <w:rsid w:val="0022614F"/>
    <w:pPr>
      <w:keepNext/>
      <w:jc w:val="both"/>
      <w:outlineLvl w:val="0"/>
    </w:pPr>
    <w:rPr>
      <w:b/>
      <w:bCs/>
      <w:sz w:val="26"/>
    </w:rPr>
  </w:style>
  <w:style w:type="paragraph" w:styleId="Heading2">
    <w:name w:val="heading 2"/>
    <w:basedOn w:val="Normal"/>
    <w:next w:val="Normal"/>
    <w:link w:val="Heading2Char"/>
    <w:uiPriority w:val="9"/>
    <w:qFormat/>
    <w:rsid w:val="0022614F"/>
    <w:pPr>
      <w:keepNext/>
      <w:spacing w:before="240" w:after="60"/>
      <w:outlineLvl w:val="1"/>
    </w:pPr>
    <w:rPr>
      <w:rFonts w:ascii="Cambria" w:hAnsi="Cambria"/>
      <w:b/>
      <w:bCs/>
      <w:i/>
      <w:iCs/>
      <w:sz w:val="28"/>
      <w:szCs w:val="28"/>
      <w:lang w:bidi="fa-IR"/>
    </w:rPr>
  </w:style>
  <w:style w:type="paragraph" w:styleId="Heading3">
    <w:name w:val="heading 3"/>
    <w:basedOn w:val="Normal"/>
    <w:next w:val="Normal"/>
    <w:qFormat/>
    <w:rsid w:val="0022614F"/>
    <w:pPr>
      <w:keepNext/>
      <w:spacing w:before="240" w:after="60"/>
      <w:outlineLvl w:val="2"/>
    </w:pPr>
    <w:rPr>
      <w:rFonts w:ascii="Arial" w:hAnsi="Arial" w:cs="Arial"/>
      <w:b/>
      <w:bCs/>
      <w:sz w:val="26"/>
      <w:szCs w:val="26"/>
    </w:rPr>
  </w:style>
  <w:style w:type="paragraph" w:styleId="Heading4">
    <w:name w:val="heading 4"/>
    <w:basedOn w:val="Normal"/>
    <w:next w:val="Normal"/>
    <w:qFormat/>
    <w:rsid w:val="0022614F"/>
    <w:pPr>
      <w:keepNext/>
      <w:spacing w:before="240" w:after="60"/>
      <w:outlineLvl w:val="3"/>
    </w:pPr>
    <w:rPr>
      <w:b/>
      <w:bCs/>
      <w:sz w:val="28"/>
      <w:szCs w:val="28"/>
    </w:rPr>
  </w:style>
  <w:style w:type="paragraph" w:styleId="Heading5">
    <w:name w:val="heading 5"/>
    <w:basedOn w:val="Normal"/>
    <w:next w:val="Normal"/>
    <w:qFormat/>
    <w:rsid w:val="0022614F"/>
    <w:pPr>
      <w:spacing w:before="240" w:after="60"/>
      <w:outlineLvl w:val="4"/>
    </w:pPr>
    <w:rPr>
      <w:b/>
      <w:bCs/>
      <w:i/>
      <w:iCs/>
      <w:sz w:val="26"/>
      <w:szCs w:val="26"/>
    </w:rPr>
  </w:style>
  <w:style w:type="paragraph" w:styleId="Heading6">
    <w:name w:val="heading 6"/>
    <w:basedOn w:val="Normal"/>
    <w:next w:val="Normal"/>
    <w:qFormat/>
    <w:rsid w:val="0022614F"/>
    <w:pPr>
      <w:spacing w:before="240" w:after="60"/>
      <w:outlineLvl w:val="5"/>
    </w:pPr>
    <w:rPr>
      <w:b/>
      <w:bCs/>
      <w:sz w:val="22"/>
      <w:szCs w:val="22"/>
    </w:rPr>
  </w:style>
  <w:style w:type="paragraph" w:styleId="Heading7">
    <w:name w:val="heading 7"/>
    <w:basedOn w:val="Normal"/>
    <w:next w:val="Normal"/>
    <w:qFormat/>
    <w:rsid w:val="0022614F"/>
    <w:pPr>
      <w:spacing w:before="240" w:after="60"/>
      <w:outlineLvl w:val="6"/>
    </w:pPr>
  </w:style>
  <w:style w:type="paragraph" w:styleId="Heading8">
    <w:name w:val="heading 8"/>
    <w:basedOn w:val="Normal"/>
    <w:next w:val="Normal"/>
    <w:qFormat/>
    <w:rsid w:val="0022614F"/>
    <w:pPr>
      <w:spacing w:before="240" w:after="60"/>
      <w:outlineLvl w:val="7"/>
    </w:pPr>
    <w:rPr>
      <w:i/>
      <w:iCs/>
    </w:rPr>
  </w:style>
  <w:style w:type="paragraph" w:styleId="Heading9">
    <w:name w:val="heading 9"/>
    <w:basedOn w:val="Normal"/>
    <w:next w:val="Normal"/>
    <w:qFormat/>
    <w:rsid w:val="0022614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_AbstractHead"/>
    <w:rsid w:val="0022614F"/>
    <w:rPr>
      <w:smallCaps/>
      <w:spacing w:val="24"/>
      <w:lang w:bidi="ar-SA"/>
    </w:rPr>
  </w:style>
  <w:style w:type="paragraph" w:customStyle="1" w:styleId="ElsAbstractText">
    <w:name w:val="Els_AbstractText"/>
    <w:rsid w:val="0022614F"/>
    <w:pPr>
      <w:spacing w:after="80" w:line="200" w:lineRule="exact"/>
      <w:jc w:val="both"/>
    </w:pPr>
    <w:rPr>
      <w:sz w:val="17"/>
      <w:lang w:bidi="ar-SA"/>
    </w:rPr>
  </w:style>
  <w:style w:type="paragraph" w:customStyle="1" w:styleId="ElsAffiliation">
    <w:name w:val="Els_Affiliation"/>
    <w:rsid w:val="0022614F"/>
    <w:pPr>
      <w:spacing w:line="200" w:lineRule="exact"/>
    </w:pPr>
    <w:rPr>
      <w:i/>
      <w:sz w:val="16"/>
      <w:lang w:bidi="ar-SA"/>
    </w:rPr>
  </w:style>
  <w:style w:type="paragraph" w:customStyle="1" w:styleId="ElsArticlehistory">
    <w:name w:val="Els_Articlehistory"/>
    <w:rsid w:val="0022614F"/>
    <w:pPr>
      <w:spacing w:line="200" w:lineRule="exact"/>
    </w:pPr>
    <w:rPr>
      <w:i/>
      <w:sz w:val="16"/>
      <w:lang w:bidi="ar-SA"/>
    </w:rPr>
  </w:style>
  <w:style w:type="paragraph" w:customStyle="1" w:styleId="ElsArticleinfoHead">
    <w:name w:val="Els_ArticleinfoHead"/>
    <w:rsid w:val="0022614F"/>
    <w:rPr>
      <w:smallCaps/>
      <w:spacing w:val="24"/>
      <w:lang w:bidi="ar-SA"/>
    </w:rPr>
  </w:style>
  <w:style w:type="paragraph" w:customStyle="1" w:styleId="ElsArticleTitle">
    <w:name w:val="Els_ArticleTitle"/>
    <w:next w:val="ElsAuthor"/>
    <w:rsid w:val="0022614F"/>
    <w:pPr>
      <w:spacing w:before="360" w:after="240" w:line="350" w:lineRule="exact"/>
    </w:pPr>
    <w:rPr>
      <w:sz w:val="30"/>
      <w:lang w:bidi="ar-SA"/>
    </w:rPr>
  </w:style>
  <w:style w:type="paragraph" w:customStyle="1" w:styleId="ElsAuthor">
    <w:name w:val="Els_Author"/>
    <w:next w:val="ElsAffiliation"/>
    <w:rsid w:val="0022614F"/>
    <w:pPr>
      <w:spacing w:after="160" w:line="290" w:lineRule="exact"/>
    </w:pPr>
    <w:rPr>
      <w:sz w:val="24"/>
      <w:lang w:bidi="ar-SA"/>
    </w:rPr>
  </w:style>
  <w:style w:type="paragraph" w:customStyle="1" w:styleId="ElsCorrespondingAuthor">
    <w:name w:val="Els_CorrespondingAuthor"/>
    <w:next w:val="ElsFootnote"/>
    <w:rsid w:val="0022614F"/>
    <w:pPr>
      <w:spacing w:before="120" w:line="200" w:lineRule="exact"/>
    </w:pPr>
    <w:rPr>
      <w:sz w:val="18"/>
      <w:lang w:bidi="ar-SA"/>
    </w:rPr>
  </w:style>
  <w:style w:type="paragraph" w:customStyle="1" w:styleId="ElsDocumenttitle">
    <w:name w:val="Els_Document title"/>
    <w:next w:val="ElsArticleTitle"/>
    <w:autoRedefine/>
    <w:rsid w:val="0022614F"/>
    <w:pPr>
      <w:spacing w:after="120"/>
    </w:pPr>
    <w:rPr>
      <w:b/>
      <w:kern w:val="28"/>
      <w:sz w:val="26"/>
      <w:lang w:val="en-GB" w:bidi="ar-SA"/>
    </w:rPr>
  </w:style>
  <w:style w:type="paragraph" w:customStyle="1" w:styleId="ElsDocumentHeading">
    <w:name w:val="Els_DocumentHeading"/>
    <w:next w:val="Normal"/>
    <w:rsid w:val="0022614F"/>
    <w:pPr>
      <w:spacing w:before="190" w:after="190" w:line="210" w:lineRule="exact"/>
    </w:pPr>
    <w:rPr>
      <w:sz w:val="19"/>
      <w:lang w:bidi="ar-SA"/>
    </w:rPr>
  </w:style>
  <w:style w:type="paragraph" w:customStyle="1" w:styleId="ElsFootnote">
    <w:name w:val="Els_Footnote"/>
    <w:rsid w:val="0022614F"/>
    <w:pPr>
      <w:spacing w:before="120" w:line="200" w:lineRule="exact"/>
    </w:pPr>
    <w:rPr>
      <w:sz w:val="18"/>
      <w:lang w:bidi="ar-SA"/>
    </w:rPr>
  </w:style>
  <w:style w:type="paragraph" w:customStyle="1" w:styleId="ElsKeyword">
    <w:name w:val="Els_Keyword"/>
    <w:rsid w:val="0022614F"/>
    <w:pPr>
      <w:spacing w:line="200" w:lineRule="exact"/>
    </w:pPr>
    <w:rPr>
      <w:sz w:val="16"/>
      <w:lang w:bidi="ar-SA"/>
    </w:rPr>
  </w:style>
  <w:style w:type="paragraph" w:customStyle="1" w:styleId="ElsKeywordHead">
    <w:name w:val="Els_KeywordHead"/>
    <w:next w:val="ElsKeyword"/>
    <w:rsid w:val="0022614F"/>
    <w:pPr>
      <w:spacing w:line="200" w:lineRule="exact"/>
    </w:pPr>
    <w:rPr>
      <w:i/>
      <w:noProof/>
      <w:sz w:val="16"/>
      <w:lang w:bidi="ar-SA"/>
    </w:rPr>
  </w:style>
  <w:style w:type="paragraph" w:customStyle="1" w:styleId="ElsParagraph">
    <w:name w:val="Els_Paragraph"/>
    <w:rsid w:val="0022614F"/>
    <w:pPr>
      <w:spacing w:after="120" w:line="220" w:lineRule="exact"/>
      <w:ind w:firstLine="230"/>
      <w:jc w:val="both"/>
    </w:pPr>
    <w:rPr>
      <w:sz w:val="19"/>
      <w:lang w:bidi="ar-SA"/>
    </w:rPr>
  </w:style>
  <w:style w:type="paragraph" w:customStyle="1" w:styleId="ElsHeading1">
    <w:name w:val="Els_Heading1"/>
    <w:next w:val="ElsParagraph"/>
    <w:rsid w:val="0022614F"/>
    <w:pPr>
      <w:keepNext/>
      <w:numPr>
        <w:numId w:val="2"/>
      </w:numPr>
      <w:spacing w:before="160" w:after="160" w:line="210" w:lineRule="exact"/>
    </w:pPr>
    <w:rPr>
      <w:b/>
      <w:bCs/>
      <w:sz w:val="19"/>
      <w:lang w:bidi="ar-SA"/>
    </w:rPr>
  </w:style>
  <w:style w:type="paragraph" w:customStyle="1" w:styleId="ElsHeading2">
    <w:name w:val="Els_Heading2"/>
    <w:next w:val="ElsParagraph"/>
    <w:rsid w:val="0022614F"/>
    <w:pPr>
      <w:numPr>
        <w:ilvl w:val="1"/>
        <w:numId w:val="2"/>
      </w:numPr>
      <w:spacing w:after="160" w:line="210" w:lineRule="exact"/>
    </w:pPr>
    <w:rPr>
      <w:bCs/>
      <w:i/>
      <w:sz w:val="19"/>
      <w:lang w:bidi="ar-SA"/>
    </w:rPr>
  </w:style>
  <w:style w:type="paragraph" w:customStyle="1" w:styleId="ElsHeading3">
    <w:name w:val="Els_Heading3"/>
    <w:next w:val="ElsParagraph"/>
    <w:rsid w:val="0022614F"/>
    <w:pPr>
      <w:numPr>
        <w:ilvl w:val="2"/>
        <w:numId w:val="2"/>
      </w:numPr>
      <w:spacing w:after="40" w:line="210" w:lineRule="exact"/>
      <w:outlineLvl w:val="0"/>
    </w:pPr>
    <w:rPr>
      <w:i/>
      <w:spacing w:val="20"/>
      <w:sz w:val="19"/>
      <w:lang w:bidi="ar-SA"/>
    </w:rPr>
  </w:style>
  <w:style w:type="paragraph" w:customStyle="1" w:styleId="ElsHeading4">
    <w:name w:val="Els_Heading4"/>
    <w:next w:val="ElsParagraph"/>
    <w:rsid w:val="0022614F"/>
    <w:pPr>
      <w:numPr>
        <w:ilvl w:val="3"/>
        <w:numId w:val="2"/>
      </w:numPr>
      <w:spacing w:after="160" w:line="210" w:lineRule="exact"/>
      <w:outlineLvl w:val="0"/>
    </w:pPr>
    <w:rPr>
      <w:i/>
      <w:spacing w:val="20"/>
      <w:sz w:val="19"/>
      <w:lang w:bidi="ar-SA"/>
    </w:rPr>
  </w:style>
  <w:style w:type="paragraph" w:customStyle="1" w:styleId="ElsHeading5">
    <w:name w:val="Els_Heading5"/>
    <w:next w:val="ElsParagraph"/>
    <w:rsid w:val="0022614F"/>
    <w:pPr>
      <w:numPr>
        <w:ilvl w:val="4"/>
        <w:numId w:val="2"/>
      </w:numPr>
      <w:spacing w:after="160" w:line="210" w:lineRule="exact"/>
      <w:outlineLvl w:val="0"/>
    </w:pPr>
    <w:rPr>
      <w:i/>
      <w:spacing w:val="20"/>
      <w:sz w:val="19"/>
      <w:lang w:bidi="ar-SA"/>
    </w:rPr>
  </w:style>
  <w:style w:type="paragraph" w:customStyle="1" w:styleId="ElsAcknowledgementsHeading">
    <w:name w:val="Els_AcknowledgementsHeading"/>
    <w:next w:val="ElsParagraph"/>
    <w:rsid w:val="0022614F"/>
    <w:pPr>
      <w:spacing w:before="220" w:after="220" w:line="220" w:lineRule="exact"/>
    </w:pPr>
    <w:rPr>
      <w:b/>
      <w:lang w:bidi="ar-SA"/>
    </w:rPr>
  </w:style>
  <w:style w:type="paragraph" w:customStyle="1" w:styleId="ElsReferencesHeading">
    <w:name w:val="Els_ReferencesHeading"/>
    <w:next w:val="ElsReferences"/>
    <w:rsid w:val="0022614F"/>
    <w:pPr>
      <w:keepNext/>
      <w:spacing w:before="240" w:after="240"/>
    </w:pPr>
    <w:rPr>
      <w:b/>
      <w:sz w:val="19"/>
      <w:lang w:bidi="ar-SA"/>
    </w:rPr>
  </w:style>
  <w:style w:type="paragraph" w:customStyle="1" w:styleId="ElsReferences">
    <w:name w:val="Els_References"/>
    <w:rsid w:val="0022614F"/>
    <w:pPr>
      <w:numPr>
        <w:numId w:val="1"/>
      </w:numPr>
    </w:pPr>
    <w:rPr>
      <w:sz w:val="16"/>
      <w:lang w:bidi="ar-SA"/>
    </w:rPr>
  </w:style>
  <w:style w:type="paragraph" w:customStyle="1" w:styleId="ElsFigureCaption">
    <w:name w:val="Els_FigureCaption"/>
    <w:rsid w:val="0022614F"/>
    <w:pPr>
      <w:spacing w:line="220" w:lineRule="exact"/>
      <w:ind w:firstLine="230"/>
    </w:pPr>
    <w:rPr>
      <w:sz w:val="16"/>
      <w:lang w:bidi="ar-SA"/>
    </w:rPr>
  </w:style>
  <w:style w:type="paragraph" w:customStyle="1" w:styleId="ElsTableCaption">
    <w:name w:val="Els_TableCaption"/>
    <w:next w:val="ElsParagraph"/>
    <w:rsid w:val="0022614F"/>
    <w:pPr>
      <w:keepNext/>
    </w:pPr>
    <w:rPr>
      <w:lang w:bidi="ar-SA"/>
    </w:rPr>
  </w:style>
  <w:style w:type="paragraph" w:customStyle="1" w:styleId="ElsLegend">
    <w:name w:val="Els_Legend"/>
    <w:rsid w:val="0022614F"/>
    <w:pPr>
      <w:spacing w:after="120" w:line="180" w:lineRule="exact"/>
    </w:pPr>
    <w:rPr>
      <w:sz w:val="16"/>
      <w:lang w:bidi="ar-SA"/>
    </w:rPr>
  </w:style>
  <w:style w:type="paragraph" w:customStyle="1" w:styleId="ElsDisplayMath">
    <w:name w:val="Els_DisplayMath"/>
    <w:basedOn w:val="ElsParagraph"/>
    <w:next w:val="ElsParagraph"/>
    <w:rsid w:val="0022614F"/>
    <w:pPr>
      <w:spacing w:before="100" w:beforeAutospacing="1" w:after="100" w:afterAutospacing="1"/>
    </w:pPr>
  </w:style>
  <w:style w:type="paragraph" w:customStyle="1" w:styleId="ElsGraphAbs">
    <w:name w:val="Els_GraphAbs"/>
    <w:basedOn w:val="Heading1"/>
    <w:rsid w:val="0022614F"/>
  </w:style>
  <w:style w:type="paragraph" w:customStyle="1" w:styleId="ElsChemEquation">
    <w:name w:val="Els_ChemEquation"/>
    <w:next w:val="ElsParagraph"/>
    <w:rsid w:val="0022614F"/>
    <w:rPr>
      <w:lang w:bidi="ar-SA"/>
    </w:rPr>
  </w:style>
  <w:style w:type="paragraph" w:customStyle="1" w:styleId="ElsTableFootnote">
    <w:name w:val="Els_TableFootnote"/>
    <w:basedOn w:val="ElsParagraph"/>
    <w:rsid w:val="0022614F"/>
    <w:rPr>
      <w:color w:val="0000FF"/>
    </w:rPr>
  </w:style>
  <w:style w:type="paragraph" w:customStyle="1" w:styleId="ElsSchemeCaption">
    <w:name w:val="Els_SchemeCaption"/>
    <w:basedOn w:val="ElsChemEquation"/>
    <w:rsid w:val="0022614F"/>
  </w:style>
  <w:style w:type="paragraph" w:customStyle="1" w:styleId="ElsGraphText">
    <w:name w:val="Els_GraphText"/>
    <w:basedOn w:val="Normal"/>
    <w:rsid w:val="0022614F"/>
    <w:pPr>
      <w:spacing w:after="440" w:line="220" w:lineRule="exact"/>
    </w:pPr>
    <w:rPr>
      <w:sz w:val="20"/>
      <w:szCs w:val="20"/>
    </w:rPr>
  </w:style>
  <w:style w:type="paragraph" w:customStyle="1" w:styleId="ElsGraphTitle">
    <w:name w:val="Els_GraphTitle"/>
    <w:basedOn w:val="Normal"/>
    <w:rsid w:val="0022614F"/>
    <w:pPr>
      <w:keepNext/>
      <w:spacing w:after="60"/>
      <w:ind w:right="5280"/>
    </w:pPr>
    <w:rPr>
      <w:b/>
      <w:szCs w:val="20"/>
    </w:rPr>
  </w:style>
  <w:style w:type="paragraph" w:customStyle="1" w:styleId="ElsGraphAuthor">
    <w:name w:val="Els_GraphAuthor"/>
    <w:basedOn w:val="Normal"/>
    <w:rsid w:val="0022614F"/>
    <w:pPr>
      <w:keepNext/>
    </w:pPr>
    <w:rPr>
      <w:sz w:val="22"/>
      <w:szCs w:val="20"/>
    </w:rPr>
  </w:style>
  <w:style w:type="paragraph" w:customStyle="1" w:styleId="ElsGraphAddress">
    <w:name w:val="Els_GraphAddress"/>
    <w:basedOn w:val="Normal"/>
    <w:rsid w:val="0022614F"/>
    <w:rPr>
      <w:i/>
      <w:sz w:val="22"/>
      <w:szCs w:val="20"/>
    </w:rPr>
  </w:style>
  <w:style w:type="paragraph" w:customStyle="1" w:styleId="ElsGraphPlaceholder">
    <w:name w:val="Els_GraphPlaceholder"/>
    <w:basedOn w:val="Normal"/>
    <w:rsid w:val="0022614F"/>
    <w:pPr>
      <w:jc w:val="center"/>
    </w:pPr>
    <w:rPr>
      <w:sz w:val="20"/>
      <w:szCs w:val="20"/>
    </w:rPr>
  </w:style>
  <w:style w:type="paragraph" w:styleId="Footer">
    <w:name w:val="footer"/>
    <w:basedOn w:val="Normal"/>
    <w:link w:val="FooterChar"/>
    <w:uiPriority w:val="99"/>
    <w:rsid w:val="0022614F"/>
    <w:pPr>
      <w:tabs>
        <w:tab w:val="center" w:pos="4320"/>
        <w:tab w:val="right" w:pos="8640"/>
      </w:tabs>
    </w:pPr>
    <w:rPr>
      <w:lang w:bidi="fa-IR"/>
    </w:rPr>
  </w:style>
  <w:style w:type="character" w:styleId="PageNumber">
    <w:name w:val="page number"/>
    <w:basedOn w:val="DefaultParagraphFont"/>
    <w:semiHidden/>
    <w:rsid w:val="0022614F"/>
  </w:style>
  <w:style w:type="paragraph" w:styleId="Header">
    <w:name w:val="header"/>
    <w:basedOn w:val="Normal"/>
    <w:link w:val="HeaderChar"/>
    <w:uiPriority w:val="99"/>
    <w:rsid w:val="0022614F"/>
    <w:pPr>
      <w:tabs>
        <w:tab w:val="center" w:pos="4320"/>
        <w:tab w:val="right" w:pos="8640"/>
      </w:tabs>
    </w:pPr>
    <w:rPr>
      <w:lang w:bidi="fa-IR"/>
    </w:rPr>
  </w:style>
  <w:style w:type="character" w:customStyle="1" w:styleId="hps">
    <w:name w:val="hps"/>
    <w:basedOn w:val="DefaultParagraphFont"/>
    <w:rsid w:val="00010412"/>
  </w:style>
  <w:style w:type="character" w:customStyle="1" w:styleId="yshortcuts">
    <w:name w:val="yshortcuts"/>
    <w:basedOn w:val="DefaultParagraphFont"/>
    <w:rsid w:val="00E872DC"/>
  </w:style>
  <w:style w:type="paragraph" w:styleId="BalloonText">
    <w:name w:val="Balloon Text"/>
    <w:basedOn w:val="Normal"/>
    <w:link w:val="BalloonTextChar"/>
    <w:uiPriority w:val="99"/>
    <w:semiHidden/>
    <w:unhideWhenUsed/>
    <w:rsid w:val="007A1559"/>
    <w:rPr>
      <w:rFonts w:ascii="Tahoma" w:hAnsi="Tahoma" w:cs="Tahoma"/>
      <w:sz w:val="16"/>
      <w:szCs w:val="16"/>
    </w:rPr>
  </w:style>
  <w:style w:type="character" w:customStyle="1" w:styleId="BalloonTextChar">
    <w:name w:val="Balloon Text Char"/>
    <w:link w:val="BalloonText"/>
    <w:uiPriority w:val="99"/>
    <w:semiHidden/>
    <w:rsid w:val="007A1559"/>
    <w:rPr>
      <w:rFonts w:ascii="Tahoma" w:hAnsi="Tahoma" w:cs="Tahoma"/>
      <w:sz w:val="16"/>
      <w:szCs w:val="16"/>
      <w:lang w:bidi="ar-SA"/>
    </w:rPr>
  </w:style>
  <w:style w:type="character" w:styleId="Strong">
    <w:name w:val="Strong"/>
    <w:uiPriority w:val="22"/>
    <w:qFormat/>
    <w:rsid w:val="00E4687B"/>
    <w:rPr>
      <w:b/>
      <w:bCs/>
    </w:rPr>
  </w:style>
  <w:style w:type="character" w:customStyle="1" w:styleId="FooterChar">
    <w:name w:val="Footer Char"/>
    <w:link w:val="Footer"/>
    <w:uiPriority w:val="99"/>
    <w:rsid w:val="00C46A3F"/>
    <w:rPr>
      <w:sz w:val="24"/>
      <w:szCs w:val="24"/>
    </w:rPr>
  </w:style>
  <w:style w:type="character" w:customStyle="1" w:styleId="HeaderChar">
    <w:name w:val="Header Char"/>
    <w:link w:val="Header"/>
    <w:uiPriority w:val="99"/>
    <w:rsid w:val="00790972"/>
    <w:rPr>
      <w:sz w:val="24"/>
      <w:szCs w:val="24"/>
    </w:rPr>
  </w:style>
  <w:style w:type="character" w:styleId="PlaceholderText">
    <w:name w:val="Placeholder Text"/>
    <w:uiPriority w:val="99"/>
    <w:semiHidden/>
    <w:rsid w:val="00132DE6"/>
    <w:rPr>
      <w:color w:val="808080"/>
    </w:rPr>
  </w:style>
  <w:style w:type="paragraph" w:styleId="ListParagraph">
    <w:name w:val="List Paragraph"/>
    <w:basedOn w:val="Normal"/>
    <w:uiPriority w:val="34"/>
    <w:qFormat/>
    <w:rsid w:val="00132DE6"/>
    <w:pPr>
      <w:spacing w:after="160" w:line="259" w:lineRule="auto"/>
      <w:ind w:left="720"/>
      <w:contextualSpacing/>
    </w:pPr>
    <w:rPr>
      <w:rFonts w:eastAsia="Calibri"/>
      <w:szCs w:val="22"/>
    </w:rPr>
  </w:style>
  <w:style w:type="character" w:customStyle="1" w:styleId="Heading2Char">
    <w:name w:val="Heading 2 Char"/>
    <w:link w:val="Heading2"/>
    <w:uiPriority w:val="9"/>
    <w:rsid w:val="00132DE6"/>
    <w:rPr>
      <w:rFonts w:ascii="Cambria" w:hAnsi="Cambria"/>
      <w:b/>
      <w:bCs/>
      <w:i/>
      <w:iCs/>
      <w:sz w:val="28"/>
      <w:szCs w:val="28"/>
    </w:rPr>
  </w:style>
  <w:style w:type="character" w:styleId="Hyperlink">
    <w:name w:val="Hyperlink"/>
    <w:uiPriority w:val="99"/>
    <w:unhideWhenUsed/>
    <w:rsid w:val="00132DE6"/>
    <w:rPr>
      <w:color w:val="0000FF"/>
      <w:u w:val="single"/>
    </w:rPr>
  </w:style>
  <w:style w:type="table" w:styleId="TableGrid">
    <w:name w:val="Table Grid"/>
    <w:basedOn w:val="TableNormal"/>
    <w:uiPriority w:val="59"/>
    <w:rsid w:val="00132DE6"/>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4A0C"/>
    <w:pPr>
      <w:suppressAutoHyphens/>
      <w:overflowPunct w:val="0"/>
      <w:autoSpaceDE w:val="0"/>
      <w:autoSpaceDN w:val="0"/>
      <w:adjustRightInd w:val="0"/>
      <w:jc w:val="both"/>
      <w:textAlignment w:val="baseline"/>
    </w:pPr>
    <w:rPr>
      <w:kern w:val="14"/>
      <w:sz w:val="20"/>
      <w:szCs w:val="20"/>
      <w:lang w:eastAsia="fr-FR" w:bidi="fa-IR"/>
    </w:rPr>
  </w:style>
  <w:style w:type="character" w:customStyle="1" w:styleId="FootnoteTextChar">
    <w:name w:val="Footnote Text Char"/>
    <w:link w:val="FootnoteText"/>
    <w:uiPriority w:val="99"/>
    <w:semiHidden/>
    <w:rsid w:val="00BD4A0C"/>
    <w:rPr>
      <w:kern w:val="14"/>
      <w:lang w:eastAsia="fr-FR"/>
    </w:rPr>
  </w:style>
  <w:style w:type="character" w:customStyle="1" w:styleId="abscitationtitle">
    <w:name w:val="abs_citation_title"/>
    <w:rsid w:val="00817249"/>
  </w:style>
  <w:style w:type="character" w:styleId="Emphasis">
    <w:name w:val="Emphasis"/>
    <w:uiPriority w:val="20"/>
    <w:qFormat/>
    <w:rsid w:val="00A0575A"/>
    <w:rPr>
      <w:i/>
      <w:iCs/>
    </w:rPr>
  </w:style>
  <w:style w:type="character" w:customStyle="1" w:styleId="gsfscp">
    <w:name w:val="gs_fscp"/>
    <w:rsid w:val="00A0575A"/>
  </w:style>
  <w:style w:type="paragraph" w:styleId="EndnoteText">
    <w:name w:val="endnote text"/>
    <w:basedOn w:val="Normal"/>
    <w:link w:val="EndnoteTextChar"/>
    <w:uiPriority w:val="99"/>
    <w:semiHidden/>
    <w:unhideWhenUsed/>
    <w:rsid w:val="00502756"/>
    <w:rPr>
      <w:sz w:val="20"/>
      <w:szCs w:val="20"/>
    </w:rPr>
  </w:style>
  <w:style w:type="character" w:customStyle="1" w:styleId="EndnoteTextChar">
    <w:name w:val="Endnote Text Char"/>
    <w:basedOn w:val="DefaultParagraphFont"/>
    <w:link w:val="EndnoteText"/>
    <w:uiPriority w:val="99"/>
    <w:semiHidden/>
    <w:rsid w:val="00502756"/>
    <w:rPr>
      <w:lang w:bidi="ar-SA"/>
    </w:rPr>
  </w:style>
  <w:style w:type="character" w:styleId="EndnoteReference">
    <w:name w:val="endnote reference"/>
    <w:basedOn w:val="DefaultParagraphFont"/>
    <w:uiPriority w:val="99"/>
    <w:semiHidden/>
    <w:unhideWhenUsed/>
    <w:rsid w:val="00502756"/>
    <w:rPr>
      <w:vertAlign w:val="superscript"/>
    </w:rPr>
  </w:style>
  <w:style w:type="character" w:styleId="FootnoteReference">
    <w:name w:val="footnote reference"/>
    <w:basedOn w:val="DefaultParagraphFont"/>
    <w:uiPriority w:val="99"/>
    <w:semiHidden/>
    <w:unhideWhenUsed/>
    <w:rsid w:val="00502756"/>
    <w:rPr>
      <w:vertAlign w:val="superscript"/>
    </w:rPr>
  </w:style>
  <w:style w:type="paragraph" w:styleId="NormalWeb">
    <w:name w:val="Normal (Web)"/>
    <w:basedOn w:val="Normal"/>
    <w:uiPriority w:val="99"/>
    <w:unhideWhenUsed/>
    <w:rsid w:val="00890C88"/>
    <w:pPr>
      <w:spacing w:before="100" w:beforeAutospacing="1" w:after="100" w:afterAutospacing="1"/>
    </w:pPr>
    <w:rPr>
      <w:lang w:val="es-AR" w:eastAsia="es-AR"/>
    </w:rPr>
  </w:style>
  <w:style w:type="paragraph" w:customStyle="1" w:styleId="text">
    <w:name w:val="text"/>
    <w:basedOn w:val="Normal"/>
    <w:qFormat/>
    <w:rsid w:val="0022457F"/>
    <w:pPr>
      <w:widowControl w:val="0"/>
      <w:ind w:firstLine="284"/>
      <w:jc w:val="both"/>
    </w:pPr>
    <w:rPr>
      <w:sz w:val="22"/>
      <w:szCs w:val="22"/>
    </w:rPr>
  </w:style>
  <w:style w:type="paragraph" w:customStyle="1" w:styleId="TCaptionFig">
    <w:name w:val="T Caption Fig"/>
    <w:basedOn w:val="Normal"/>
    <w:qFormat/>
    <w:rsid w:val="00147D94"/>
    <w:pPr>
      <w:tabs>
        <w:tab w:val="left" w:pos="284"/>
      </w:tabs>
      <w:spacing w:before="120" w:after="240"/>
      <w:jc w:val="center"/>
    </w:pPr>
    <w:rPr>
      <w:rFonts w:eastAsia="Calibri"/>
      <w:bCs/>
      <w:sz w:val="20"/>
      <w:szCs w:val="20"/>
      <w:lang w:val="tr-TR" w:eastAsia="zh-CN" w:bidi="fa-IR"/>
    </w:rPr>
  </w:style>
  <w:style w:type="paragraph" w:customStyle="1" w:styleId="TSubtitle">
    <w:name w:val="T Subtitle"/>
    <w:basedOn w:val="Normal"/>
    <w:qFormat/>
    <w:rsid w:val="00D51353"/>
    <w:pPr>
      <w:tabs>
        <w:tab w:val="left" w:pos="284"/>
      </w:tabs>
      <w:spacing w:before="120" w:after="120"/>
      <w:jc w:val="both"/>
    </w:pPr>
    <w:rPr>
      <w:rFonts w:eastAsia="Calibri"/>
      <w:b/>
      <w:sz w:val="22"/>
      <w:szCs w:val="22"/>
      <w:lang w:val="tr-TR" w:eastAsia="zh-CN" w:bidi="fa-IR"/>
    </w:rPr>
  </w:style>
  <w:style w:type="paragraph" w:customStyle="1" w:styleId="Tmaintitle">
    <w:name w:val="T main title"/>
    <w:basedOn w:val="Normal"/>
    <w:qFormat/>
    <w:rsid w:val="0031742D"/>
    <w:pPr>
      <w:tabs>
        <w:tab w:val="left" w:pos="284"/>
      </w:tabs>
      <w:spacing w:before="240" w:after="120"/>
      <w:jc w:val="both"/>
    </w:pPr>
    <w:rPr>
      <w:b/>
      <w:bCs/>
      <w:kern w:val="14"/>
      <w:sz w:val="22"/>
      <w:szCs w:val="22"/>
      <w:lang w:eastAsia="fr-FR"/>
    </w:rPr>
  </w:style>
  <w:style w:type="table" w:customStyle="1" w:styleId="PlainTable21">
    <w:name w:val="Plain Table 21"/>
    <w:basedOn w:val="TableNormal"/>
    <w:uiPriority w:val="42"/>
    <w:rsid w:val="00861C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A90618"/>
    <w:rPr>
      <w:color w:val="605E5C"/>
      <w:shd w:val="clear" w:color="auto" w:fill="E1DFDD"/>
    </w:rPr>
  </w:style>
  <w:style w:type="paragraph" w:customStyle="1" w:styleId="Tref">
    <w:name w:val="T ref"/>
    <w:basedOn w:val="Normal"/>
    <w:qFormat/>
    <w:rsid w:val="00FB5B95"/>
    <w:pPr>
      <w:numPr>
        <w:numId w:val="14"/>
      </w:numPr>
      <w:suppressAutoHyphens/>
      <w:overflowPunct w:val="0"/>
      <w:autoSpaceDE w:val="0"/>
      <w:autoSpaceDN w:val="0"/>
      <w:adjustRightInd w:val="0"/>
      <w:jc w:val="both"/>
      <w:textAlignment w:val="baseline"/>
    </w:pPr>
    <w:rPr>
      <w:rFonts w:eastAsia="Calibri"/>
      <w:sz w:val="20"/>
      <w:szCs w:val="20"/>
    </w:rPr>
  </w:style>
  <w:style w:type="character" w:customStyle="1" w:styleId="fontstyle01">
    <w:name w:val="fontstyle01"/>
    <w:basedOn w:val="DefaultParagraphFont"/>
    <w:rsid w:val="001B7170"/>
    <w:rPr>
      <w:rFonts w:ascii="CIDFont+F3" w:hAnsi="CIDFont+F3" w:hint="default"/>
      <w:b w:val="0"/>
      <w:bCs w:val="0"/>
      <w:i w:val="0"/>
      <w:iCs w:val="0"/>
      <w:color w:val="000000"/>
      <w:sz w:val="28"/>
      <w:szCs w:val="28"/>
    </w:rPr>
  </w:style>
  <w:style w:type="paragraph" w:customStyle="1" w:styleId="TCaptionTab">
    <w:name w:val="T Caption Tab"/>
    <w:basedOn w:val="TCaptionFig"/>
    <w:qFormat/>
    <w:rsid w:val="00147D94"/>
    <w:pPr>
      <w:spacing w:before="240" w:after="120"/>
    </w:pPr>
  </w:style>
  <w:style w:type="character" w:customStyle="1" w:styleId="UnresolvedMention2">
    <w:name w:val="Unresolved Mention2"/>
    <w:basedOn w:val="DefaultParagraphFont"/>
    <w:uiPriority w:val="99"/>
    <w:semiHidden/>
    <w:unhideWhenUsed/>
    <w:rsid w:val="00347BC1"/>
    <w:rPr>
      <w:color w:val="605E5C"/>
      <w:shd w:val="clear" w:color="auto" w:fill="E1DFDD"/>
    </w:rPr>
  </w:style>
  <w:style w:type="paragraph" w:customStyle="1" w:styleId="TTablenote">
    <w:name w:val="T Table note"/>
    <w:basedOn w:val="Normal"/>
    <w:qFormat/>
    <w:rsid w:val="00347BC1"/>
    <w:pPr>
      <w:suppressAutoHyphens/>
      <w:overflowPunct w:val="0"/>
      <w:autoSpaceDE w:val="0"/>
      <w:autoSpaceDN w:val="0"/>
      <w:adjustRightInd w:val="0"/>
      <w:spacing w:before="120" w:after="120"/>
      <w:jc w:val="center"/>
      <w:textAlignment w:val="baseline"/>
    </w:pPr>
    <w:rPr>
      <w:sz w:val="16"/>
      <w:szCs w:val="16"/>
    </w:rPr>
  </w:style>
  <w:style w:type="character" w:styleId="CommentReference">
    <w:name w:val="annotation reference"/>
    <w:basedOn w:val="DefaultParagraphFont"/>
    <w:uiPriority w:val="99"/>
    <w:semiHidden/>
    <w:unhideWhenUsed/>
    <w:rsid w:val="007320D4"/>
    <w:rPr>
      <w:sz w:val="16"/>
      <w:szCs w:val="16"/>
    </w:rPr>
  </w:style>
  <w:style w:type="paragraph" w:styleId="CommentText">
    <w:name w:val="annotation text"/>
    <w:basedOn w:val="Normal"/>
    <w:link w:val="CommentTextChar"/>
    <w:uiPriority w:val="99"/>
    <w:semiHidden/>
    <w:unhideWhenUsed/>
    <w:rsid w:val="007320D4"/>
    <w:rPr>
      <w:sz w:val="20"/>
      <w:szCs w:val="20"/>
    </w:rPr>
  </w:style>
  <w:style w:type="character" w:customStyle="1" w:styleId="CommentTextChar">
    <w:name w:val="Comment Text Char"/>
    <w:basedOn w:val="DefaultParagraphFont"/>
    <w:link w:val="CommentText"/>
    <w:uiPriority w:val="99"/>
    <w:semiHidden/>
    <w:rsid w:val="007320D4"/>
    <w:rPr>
      <w:lang w:bidi="ar-SA"/>
    </w:rPr>
  </w:style>
  <w:style w:type="paragraph" w:styleId="CommentSubject">
    <w:name w:val="annotation subject"/>
    <w:basedOn w:val="CommentText"/>
    <w:next w:val="CommentText"/>
    <w:link w:val="CommentSubjectChar"/>
    <w:uiPriority w:val="99"/>
    <w:semiHidden/>
    <w:unhideWhenUsed/>
    <w:rsid w:val="007320D4"/>
    <w:rPr>
      <w:b/>
      <w:bCs/>
    </w:rPr>
  </w:style>
  <w:style w:type="character" w:customStyle="1" w:styleId="CommentSubjectChar">
    <w:name w:val="Comment Subject Char"/>
    <w:basedOn w:val="CommentTextChar"/>
    <w:link w:val="CommentSubject"/>
    <w:uiPriority w:val="99"/>
    <w:semiHidden/>
    <w:rsid w:val="007320D4"/>
    <w:rPr>
      <w:b/>
      <w:bCs/>
      <w:lang w:bidi="ar-SA"/>
    </w:rPr>
  </w:style>
  <w:style w:type="table" w:customStyle="1" w:styleId="PlainTable41">
    <w:name w:val="Plain Table 41"/>
    <w:basedOn w:val="TableNormal"/>
    <w:uiPriority w:val="44"/>
    <w:rsid w:val="00CC1E4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7018FB"/>
    <w:rPr>
      <w:rFonts w:asciiTheme="minorHAnsi" w:eastAsiaTheme="minorHAnsi" w:hAnsiTheme="minorHAnsi" w:cstheme="minorBidi"/>
      <w:sz w:val="22"/>
      <w:szCs w:val="22"/>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uiPriority w:val="41"/>
    <w:rsid w:val="00DA390F"/>
    <w:rPr>
      <w:rFonts w:ascii="Calibri" w:eastAsia="Calibri" w:hAnsi="Calibri" w:cs="Arial"/>
      <w:sz w:val="22"/>
      <w:szCs w:val="22"/>
      <w:lang w:bidi="ar-S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E92B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25578">
      <w:bodyDiv w:val="1"/>
      <w:marLeft w:val="0"/>
      <w:marRight w:val="0"/>
      <w:marTop w:val="0"/>
      <w:marBottom w:val="0"/>
      <w:divBdr>
        <w:top w:val="none" w:sz="0" w:space="0" w:color="auto"/>
        <w:left w:val="none" w:sz="0" w:space="0" w:color="auto"/>
        <w:bottom w:val="none" w:sz="0" w:space="0" w:color="auto"/>
        <w:right w:val="none" w:sz="0" w:space="0" w:color="auto"/>
      </w:divBdr>
    </w:div>
    <w:div w:id="206987891">
      <w:bodyDiv w:val="1"/>
      <w:marLeft w:val="0"/>
      <w:marRight w:val="0"/>
      <w:marTop w:val="0"/>
      <w:marBottom w:val="0"/>
      <w:divBdr>
        <w:top w:val="none" w:sz="0" w:space="0" w:color="auto"/>
        <w:left w:val="none" w:sz="0" w:space="0" w:color="auto"/>
        <w:bottom w:val="none" w:sz="0" w:space="0" w:color="auto"/>
        <w:right w:val="none" w:sz="0" w:space="0" w:color="auto"/>
      </w:divBdr>
    </w:div>
    <w:div w:id="240339041">
      <w:bodyDiv w:val="1"/>
      <w:marLeft w:val="0"/>
      <w:marRight w:val="0"/>
      <w:marTop w:val="0"/>
      <w:marBottom w:val="0"/>
      <w:divBdr>
        <w:top w:val="none" w:sz="0" w:space="0" w:color="auto"/>
        <w:left w:val="none" w:sz="0" w:space="0" w:color="auto"/>
        <w:bottom w:val="none" w:sz="0" w:space="0" w:color="auto"/>
        <w:right w:val="none" w:sz="0" w:space="0" w:color="auto"/>
      </w:divBdr>
    </w:div>
    <w:div w:id="249312847">
      <w:bodyDiv w:val="1"/>
      <w:marLeft w:val="0"/>
      <w:marRight w:val="0"/>
      <w:marTop w:val="0"/>
      <w:marBottom w:val="0"/>
      <w:divBdr>
        <w:top w:val="none" w:sz="0" w:space="0" w:color="auto"/>
        <w:left w:val="none" w:sz="0" w:space="0" w:color="auto"/>
        <w:bottom w:val="none" w:sz="0" w:space="0" w:color="auto"/>
        <w:right w:val="none" w:sz="0" w:space="0" w:color="auto"/>
      </w:divBdr>
    </w:div>
    <w:div w:id="286393892">
      <w:bodyDiv w:val="1"/>
      <w:marLeft w:val="0"/>
      <w:marRight w:val="0"/>
      <w:marTop w:val="0"/>
      <w:marBottom w:val="0"/>
      <w:divBdr>
        <w:top w:val="none" w:sz="0" w:space="0" w:color="auto"/>
        <w:left w:val="none" w:sz="0" w:space="0" w:color="auto"/>
        <w:bottom w:val="none" w:sz="0" w:space="0" w:color="auto"/>
        <w:right w:val="none" w:sz="0" w:space="0" w:color="auto"/>
      </w:divBdr>
    </w:div>
    <w:div w:id="297298431">
      <w:bodyDiv w:val="1"/>
      <w:marLeft w:val="0"/>
      <w:marRight w:val="0"/>
      <w:marTop w:val="0"/>
      <w:marBottom w:val="0"/>
      <w:divBdr>
        <w:top w:val="none" w:sz="0" w:space="0" w:color="auto"/>
        <w:left w:val="none" w:sz="0" w:space="0" w:color="auto"/>
        <w:bottom w:val="none" w:sz="0" w:space="0" w:color="auto"/>
        <w:right w:val="none" w:sz="0" w:space="0" w:color="auto"/>
      </w:divBdr>
    </w:div>
    <w:div w:id="418599029">
      <w:bodyDiv w:val="1"/>
      <w:marLeft w:val="0"/>
      <w:marRight w:val="0"/>
      <w:marTop w:val="0"/>
      <w:marBottom w:val="0"/>
      <w:divBdr>
        <w:top w:val="none" w:sz="0" w:space="0" w:color="auto"/>
        <w:left w:val="none" w:sz="0" w:space="0" w:color="auto"/>
        <w:bottom w:val="none" w:sz="0" w:space="0" w:color="auto"/>
        <w:right w:val="none" w:sz="0" w:space="0" w:color="auto"/>
      </w:divBdr>
      <w:divsChild>
        <w:div w:id="378018232">
          <w:marLeft w:val="0"/>
          <w:marRight w:val="0"/>
          <w:marTop w:val="0"/>
          <w:marBottom w:val="0"/>
          <w:divBdr>
            <w:top w:val="single" w:sz="2" w:space="0" w:color="E5E7EB"/>
            <w:left w:val="single" w:sz="2" w:space="0" w:color="E5E7EB"/>
            <w:bottom w:val="single" w:sz="2" w:space="0" w:color="E5E7EB"/>
            <w:right w:val="single" w:sz="2" w:space="0" w:color="E5E7EB"/>
          </w:divBdr>
          <w:divsChild>
            <w:div w:id="993752593">
              <w:marLeft w:val="0"/>
              <w:marRight w:val="0"/>
              <w:marTop w:val="0"/>
              <w:marBottom w:val="0"/>
              <w:divBdr>
                <w:top w:val="single" w:sz="2" w:space="0" w:color="E5E7EB"/>
                <w:left w:val="single" w:sz="2" w:space="0" w:color="E5E7EB"/>
                <w:bottom w:val="single" w:sz="2" w:space="0" w:color="E5E7EB"/>
                <w:right w:val="single" w:sz="2" w:space="0" w:color="E5E7EB"/>
              </w:divBdr>
              <w:divsChild>
                <w:div w:id="1564372317">
                  <w:marLeft w:val="0"/>
                  <w:marRight w:val="0"/>
                  <w:marTop w:val="0"/>
                  <w:marBottom w:val="0"/>
                  <w:divBdr>
                    <w:top w:val="none" w:sz="0" w:space="0" w:color="auto"/>
                    <w:left w:val="none" w:sz="0" w:space="0" w:color="auto"/>
                    <w:bottom w:val="none" w:sz="0" w:space="0" w:color="auto"/>
                    <w:right w:val="none" w:sz="0" w:space="0" w:color="auto"/>
                  </w:divBdr>
                  <w:divsChild>
                    <w:div w:id="947199160">
                      <w:marLeft w:val="0"/>
                      <w:marRight w:val="0"/>
                      <w:marTop w:val="0"/>
                      <w:marBottom w:val="0"/>
                      <w:divBdr>
                        <w:top w:val="single" w:sz="2" w:space="0" w:color="E5E7EB"/>
                        <w:left w:val="single" w:sz="2" w:space="0" w:color="E5E7EB"/>
                        <w:bottom w:val="single" w:sz="2" w:space="0" w:color="E5E7EB"/>
                        <w:right w:val="single" w:sz="2" w:space="0" w:color="E5E7EB"/>
                      </w:divBdr>
                      <w:divsChild>
                        <w:div w:id="984161510">
                          <w:marLeft w:val="0"/>
                          <w:marRight w:val="0"/>
                          <w:marTop w:val="0"/>
                          <w:marBottom w:val="0"/>
                          <w:divBdr>
                            <w:top w:val="single" w:sz="2" w:space="0" w:color="E5E7EB"/>
                            <w:left w:val="single" w:sz="2" w:space="0" w:color="E5E7EB"/>
                            <w:bottom w:val="single" w:sz="2" w:space="0" w:color="E5E7EB"/>
                            <w:right w:val="single" w:sz="2" w:space="0" w:color="E5E7EB"/>
                          </w:divBdr>
                          <w:divsChild>
                            <w:div w:id="444614893">
                              <w:marLeft w:val="0"/>
                              <w:marRight w:val="0"/>
                              <w:marTop w:val="0"/>
                              <w:marBottom w:val="0"/>
                              <w:divBdr>
                                <w:top w:val="single" w:sz="2" w:space="0" w:color="E5E7EB"/>
                                <w:left w:val="single" w:sz="2" w:space="0" w:color="E5E7EB"/>
                                <w:bottom w:val="single" w:sz="2" w:space="0" w:color="E5E7EB"/>
                                <w:right w:val="single" w:sz="2" w:space="0" w:color="E5E7EB"/>
                              </w:divBdr>
                              <w:divsChild>
                                <w:div w:id="802037025">
                                  <w:marLeft w:val="0"/>
                                  <w:marRight w:val="0"/>
                                  <w:marTop w:val="0"/>
                                  <w:marBottom w:val="0"/>
                                  <w:divBdr>
                                    <w:top w:val="single" w:sz="2" w:space="0" w:color="E5E7EB"/>
                                    <w:left w:val="single" w:sz="2" w:space="0" w:color="E5E7EB"/>
                                    <w:bottom w:val="single" w:sz="2" w:space="0" w:color="E5E7EB"/>
                                    <w:right w:val="single" w:sz="2" w:space="0" w:color="E5E7EB"/>
                                  </w:divBdr>
                                  <w:divsChild>
                                    <w:div w:id="2027364399">
                                      <w:marLeft w:val="0"/>
                                      <w:marRight w:val="0"/>
                                      <w:marTop w:val="0"/>
                                      <w:marBottom w:val="0"/>
                                      <w:divBdr>
                                        <w:top w:val="single" w:sz="2" w:space="2" w:color="E5E7EB"/>
                                        <w:left w:val="single" w:sz="2" w:space="0" w:color="E5E7EB"/>
                                        <w:bottom w:val="single" w:sz="2" w:space="2" w:color="E5E7EB"/>
                                        <w:right w:val="single" w:sz="2" w:space="0" w:color="E5E7EB"/>
                                      </w:divBdr>
                                      <w:divsChild>
                                        <w:div w:id="708844432">
                                          <w:marLeft w:val="0"/>
                                          <w:marRight w:val="0"/>
                                          <w:marTop w:val="0"/>
                                          <w:marBottom w:val="0"/>
                                          <w:divBdr>
                                            <w:top w:val="single" w:sz="2" w:space="0" w:color="E5E7EB"/>
                                            <w:left w:val="single" w:sz="2" w:space="0" w:color="E5E7EB"/>
                                            <w:bottom w:val="single" w:sz="2" w:space="0" w:color="E5E7EB"/>
                                            <w:right w:val="single" w:sz="2" w:space="0" w:color="E5E7EB"/>
                                          </w:divBdr>
                                          <w:divsChild>
                                            <w:div w:id="279924045">
                                              <w:marLeft w:val="0"/>
                                              <w:marRight w:val="0"/>
                                              <w:marTop w:val="0"/>
                                              <w:marBottom w:val="0"/>
                                              <w:divBdr>
                                                <w:top w:val="single" w:sz="2" w:space="0" w:color="E5E7EB"/>
                                                <w:left w:val="single" w:sz="2" w:space="0" w:color="E5E7EB"/>
                                                <w:bottom w:val="single" w:sz="2" w:space="0" w:color="E5E7EB"/>
                                                <w:right w:val="single" w:sz="2" w:space="0" w:color="E5E7EB"/>
                                              </w:divBdr>
                                              <w:divsChild>
                                                <w:div w:id="216355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25726450">
                                      <w:marLeft w:val="0"/>
                                      <w:marRight w:val="0"/>
                                      <w:marTop w:val="0"/>
                                      <w:marBottom w:val="0"/>
                                      <w:divBdr>
                                        <w:top w:val="single" w:sz="2" w:space="0" w:color="E5E7EB"/>
                                        <w:left w:val="single" w:sz="2" w:space="0" w:color="E5E7EB"/>
                                        <w:bottom w:val="single" w:sz="2" w:space="0" w:color="E5E7EB"/>
                                        <w:right w:val="single" w:sz="2" w:space="0" w:color="E5E7EB"/>
                                      </w:divBdr>
                                      <w:divsChild>
                                        <w:div w:id="1118254080">
                                          <w:marLeft w:val="0"/>
                                          <w:marRight w:val="0"/>
                                          <w:marTop w:val="0"/>
                                          <w:marBottom w:val="0"/>
                                          <w:divBdr>
                                            <w:top w:val="single" w:sz="2" w:space="5" w:color="E5E7EB"/>
                                            <w:left w:val="single" w:sz="2" w:space="6" w:color="E5E7EB"/>
                                            <w:bottom w:val="single" w:sz="2" w:space="5" w:color="E5E7EB"/>
                                            <w:right w:val="single" w:sz="2" w:space="6" w:color="E5E7EB"/>
                                          </w:divBdr>
                                        </w:div>
                                      </w:divsChild>
                                    </w:div>
                                  </w:divsChild>
                                </w:div>
                              </w:divsChild>
                            </w:div>
                          </w:divsChild>
                        </w:div>
                      </w:divsChild>
                    </w:div>
                  </w:divsChild>
                </w:div>
              </w:divsChild>
            </w:div>
          </w:divsChild>
        </w:div>
      </w:divsChild>
    </w:div>
    <w:div w:id="721710448">
      <w:bodyDiv w:val="1"/>
      <w:marLeft w:val="0"/>
      <w:marRight w:val="0"/>
      <w:marTop w:val="0"/>
      <w:marBottom w:val="0"/>
      <w:divBdr>
        <w:top w:val="none" w:sz="0" w:space="0" w:color="auto"/>
        <w:left w:val="none" w:sz="0" w:space="0" w:color="auto"/>
        <w:bottom w:val="none" w:sz="0" w:space="0" w:color="auto"/>
        <w:right w:val="none" w:sz="0" w:space="0" w:color="auto"/>
      </w:divBdr>
    </w:div>
    <w:div w:id="841899066">
      <w:bodyDiv w:val="1"/>
      <w:marLeft w:val="0"/>
      <w:marRight w:val="0"/>
      <w:marTop w:val="0"/>
      <w:marBottom w:val="0"/>
      <w:divBdr>
        <w:top w:val="none" w:sz="0" w:space="0" w:color="auto"/>
        <w:left w:val="none" w:sz="0" w:space="0" w:color="auto"/>
        <w:bottom w:val="none" w:sz="0" w:space="0" w:color="auto"/>
        <w:right w:val="none" w:sz="0" w:space="0" w:color="auto"/>
      </w:divBdr>
    </w:div>
    <w:div w:id="914826372">
      <w:bodyDiv w:val="1"/>
      <w:marLeft w:val="0"/>
      <w:marRight w:val="0"/>
      <w:marTop w:val="0"/>
      <w:marBottom w:val="0"/>
      <w:divBdr>
        <w:top w:val="none" w:sz="0" w:space="0" w:color="auto"/>
        <w:left w:val="none" w:sz="0" w:space="0" w:color="auto"/>
        <w:bottom w:val="none" w:sz="0" w:space="0" w:color="auto"/>
        <w:right w:val="none" w:sz="0" w:space="0" w:color="auto"/>
      </w:divBdr>
    </w:div>
    <w:div w:id="1012728681">
      <w:bodyDiv w:val="1"/>
      <w:marLeft w:val="0"/>
      <w:marRight w:val="0"/>
      <w:marTop w:val="0"/>
      <w:marBottom w:val="0"/>
      <w:divBdr>
        <w:top w:val="none" w:sz="0" w:space="0" w:color="auto"/>
        <w:left w:val="none" w:sz="0" w:space="0" w:color="auto"/>
        <w:bottom w:val="none" w:sz="0" w:space="0" w:color="auto"/>
        <w:right w:val="none" w:sz="0" w:space="0" w:color="auto"/>
      </w:divBdr>
    </w:div>
    <w:div w:id="1057558529">
      <w:bodyDiv w:val="1"/>
      <w:marLeft w:val="0"/>
      <w:marRight w:val="0"/>
      <w:marTop w:val="0"/>
      <w:marBottom w:val="0"/>
      <w:divBdr>
        <w:top w:val="none" w:sz="0" w:space="0" w:color="auto"/>
        <w:left w:val="none" w:sz="0" w:space="0" w:color="auto"/>
        <w:bottom w:val="none" w:sz="0" w:space="0" w:color="auto"/>
        <w:right w:val="none" w:sz="0" w:space="0" w:color="auto"/>
      </w:divBdr>
    </w:div>
    <w:div w:id="1065647315">
      <w:bodyDiv w:val="1"/>
      <w:marLeft w:val="0"/>
      <w:marRight w:val="0"/>
      <w:marTop w:val="0"/>
      <w:marBottom w:val="0"/>
      <w:divBdr>
        <w:top w:val="none" w:sz="0" w:space="0" w:color="auto"/>
        <w:left w:val="none" w:sz="0" w:space="0" w:color="auto"/>
        <w:bottom w:val="none" w:sz="0" w:space="0" w:color="auto"/>
        <w:right w:val="none" w:sz="0" w:space="0" w:color="auto"/>
      </w:divBdr>
    </w:div>
    <w:div w:id="1075277412">
      <w:bodyDiv w:val="1"/>
      <w:marLeft w:val="0"/>
      <w:marRight w:val="0"/>
      <w:marTop w:val="0"/>
      <w:marBottom w:val="0"/>
      <w:divBdr>
        <w:top w:val="none" w:sz="0" w:space="0" w:color="auto"/>
        <w:left w:val="none" w:sz="0" w:space="0" w:color="auto"/>
        <w:bottom w:val="none" w:sz="0" w:space="0" w:color="auto"/>
        <w:right w:val="none" w:sz="0" w:space="0" w:color="auto"/>
      </w:divBdr>
    </w:div>
    <w:div w:id="1152067635">
      <w:bodyDiv w:val="1"/>
      <w:marLeft w:val="0"/>
      <w:marRight w:val="0"/>
      <w:marTop w:val="0"/>
      <w:marBottom w:val="0"/>
      <w:divBdr>
        <w:top w:val="none" w:sz="0" w:space="0" w:color="auto"/>
        <w:left w:val="none" w:sz="0" w:space="0" w:color="auto"/>
        <w:bottom w:val="none" w:sz="0" w:space="0" w:color="auto"/>
        <w:right w:val="none" w:sz="0" w:space="0" w:color="auto"/>
      </w:divBdr>
    </w:div>
    <w:div w:id="1189248112">
      <w:bodyDiv w:val="1"/>
      <w:marLeft w:val="0"/>
      <w:marRight w:val="0"/>
      <w:marTop w:val="0"/>
      <w:marBottom w:val="0"/>
      <w:divBdr>
        <w:top w:val="none" w:sz="0" w:space="0" w:color="auto"/>
        <w:left w:val="none" w:sz="0" w:space="0" w:color="auto"/>
        <w:bottom w:val="none" w:sz="0" w:space="0" w:color="auto"/>
        <w:right w:val="none" w:sz="0" w:space="0" w:color="auto"/>
      </w:divBdr>
    </w:div>
    <w:div w:id="1195655618">
      <w:bodyDiv w:val="1"/>
      <w:marLeft w:val="0"/>
      <w:marRight w:val="0"/>
      <w:marTop w:val="0"/>
      <w:marBottom w:val="0"/>
      <w:divBdr>
        <w:top w:val="none" w:sz="0" w:space="0" w:color="auto"/>
        <w:left w:val="none" w:sz="0" w:space="0" w:color="auto"/>
        <w:bottom w:val="none" w:sz="0" w:space="0" w:color="auto"/>
        <w:right w:val="none" w:sz="0" w:space="0" w:color="auto"/>
      </w:divBdr>
    </w:div>
    <w:div w:id="1237591868">
      <w:bodyDiv w:val="1"/>
      <w:marLeft w:val="0"/>
      <w:marRight w:val="0"/>
      <w:marTop w:val="0"/>
      <w:marBottom w:val="0"/>
      <w:divBdr>
        <w:top w:val="none" w:sz="0" w:space="0" w:color="auto"/>
        <w:left w:val="none" w:sz="0" w:space="0" w:color="auto"/>
        <w:bottom w:val="none" w:sz="0" w:space="0" w:color="auto"/>
        <w:right w:val="none" w:sz="0" w:space="0" w:color="auto"/>
      </w:divBdr>
    </w:div>
    <w:div w:id="1242178003">
      <w:bodyDiv w:val="1"/>
      <w:marLeft w:val="0"/>
      <w:marRight w:val="0"/>
      <w:marTop w:val="0"/>
      <w:marBottom w:val="0"/>
      <w:divBdr>
        <w:top w:val="none" w:sz="0" w:space="0" w:color="auto"/>
        <w:left w:val="none" w:sz="0" w:space="0" w:color="auto"/>
        <w:bottom w:val="none" w:sz="0" w:space="0" w:color="auto"/>
        <w:right w:val="none" w:sz="0" w:space="0" w:color="auto"/>
      </w:divBdr>
      <w:divsChild>
        <w:div w:id="258293948">
          <w:marLeft w:val="0"/>
          <w:marRight w:val="0"/>
          <w:marTop w:val="0"/>
          <w:marBottom w:val="0"/>
          <w:divBdr>
            <w:top w:val="single" w:sz="2" w:space="0" w:color="E5E7EB"/>
            <w:left w:val="single" w:sz="2" w:space="0" w:color="E5E7EB"/>
            <w:bottom w:val="single" w:sz="2" w:space="0" w:color="E5E7EB"/>
            <w:right w:val="single" w:sz="2" w:space="0" w:color="E5E7EB"/>
          </w:divBdr>
          <w:divsChild>
            <w:div w:id="1417438108">
              <w:marLeft w:val="0"/>
              <w:marRight w:val="0"/>
              <w:marTop w:val="0"/>
              <w:marBottom w:val="0"/>
              <w:divBdr>
                <w:top w:val="single" w:sz="2" w:space="0" w:color="E5E7EB"/>
                <w:left w:val="single" w:sz="2" w:space="0" w:color="E5E7EB"/>
                <w:bottom w:val="single" w:sz="2" w:space="0" w:color="E5E7EB"/>
                <w:right w:val="single" w:sz="2" w:space="0" w:color="E5E7EB"/>
              </w:divBdr>
              <w:divsChild>
                <w:div w:id="1880167354">
                  <w:marLeft w:val="0"/>
                  <w:marRight w:val="0"/>
                  <w:marTop w:val="0"/>
                  <w:marBottom w:val="0"/>
                  <w:divBdr>
                    <w:top w:val="none" w:sz="0" w:space="0" w:color="auto"/>
                    <w:left w:val="none" w:sz="0" w:space="0" w:color="auto"/>
                    <w:bottom w:val="none" w:sz="0" w:space="0" w:color="auto"/>
                    <w:right w:val="none" w:sz="0" w:space="0" w:color="auto"/>
                  </w:divBdr>
                  <w:divsChild>
                    <w:div w:id="1662006749">
                      <w:marLeft w:val="0"/>
                      <w:marRight w:val="0"/>
                      <w:marTop w:val="0"/>
                      <w:marBottom w:val="0"/>
                      <w:divBdr>
                        <w:top w:val="single" w:sz="2" w:space="0" w:color="E5E7EB"/>
                        <w:left w:val="single" w:sz="2" w:space="0" w:color="E5E7EB"/>
                        <w:bottom w:val="single" w:sz="2" w:space="0" w:color="E5E7EB"/>
                        <w:right w:val="single" w:sz="2" w:space="0" w:color="E5E7EB"/>
                      </w:divBdr>
                      <w:divsChild>
                        <w:div w:id="973677303">
                          <w:marLeft w:val="0"/>
                          <w:marRight w:val="0"/>
                          <w:marTop w:val="0"/>
                          <w:marBottom w:val="0"/>
                          <w:divBdr>
                            <w:top w:val="single" w:sz="2" w:space="0" w:color="E5E7EB"/>
                            <w:left w:val="single" w:sz="2" w:space="0" w:color="E5E7EB"/>
                            <w:bottom w:val="single" w:sz="2" w:space="0" w:color="E5E7EB"/>
                            <w:right w:val="single" w:sz="2" w:space="0" w:color="E5E7EB"/>
                          </w:divBdr>
                          <w:divsChild>
                            <w:div w:id="184635759">
                              <w:marLeft w:val="0"/>
                              <w:marRight w:val="0"/>
                              <w:marTop w:val="0"/>
                              <w:marBottom w:val="0"/>
                              <w:divBdr>
                                <w:top w:val="single" w:sz="2" w:space="0" w:color="E5E7EB"/>
                                <w:left w:val="single" w:sz="2" w:space="0" w:color="E5E7EB"/>
                                <w:bottom w:val="single" w:sz="2" w:space="0" w:color="E5E7EB"/>
                                <w:right w:val="single" w:sz="2" w:space="0" w:color="E5E7EB"/>
                              </w:divBdr>
                              <w:divsChild>
                                <w:div w:id="589774986">
                                  <w:marLeft w:val="0"/>
                                  <w:marRight w:val="0"/>
                                  <w:marTop w:val="0"/>
                                  <w:marBottom w:val="0"/>
                                  <w:divBdr>
                                    <w:top w:val="single" w:sz="2" w:space="0" w:color="E5E7EB"/>
                                    <w:left w:val="single" w:sz="2" w:space="0" w:color="E5E7EB"/>
                                    <w:bottom w:val="single" w:sz="2" w:space="0" w:color="E5E7EB"/>
                                    <w:right w:val="single" w:sz="2" w:space="0" w:color="E5E7EB"/>
                                  </w:divBdr>
                                  <w:divsChild>
                                    <w:div w:id="1574313194">
                                      <w:marLeft w:val="0"/>
                                      <w:marRight w:val="0"/>
                                      <w:marTop w:val="0"/>
                                      <w:marBottom w:val="0"/>
                                      <w:divBdr>
                                        <w:top w:val="single" w:sz="2" w:space="2" w:color="E5E7EB"/>
                                        <w:left w:val="single" w:sz="2" w:space="0" w:color="E5E7EB"/>
                                        <w:bottom w:val="single" w:sz="2" w:space="2" w:color="E5E7EB"/>
                                        <w:right w:val="single" w:sz="2" w:space="0" w:color="E5E7EB"/>
                                      </w:divBdr>
                                      <w:divsChild>
                                        <w:div w:id="1413434159">
                                          <w:marLeft w:val="0"/>
                                          <w:marRight w:val="0"/>
                                          <w:marTop w:val="0"/>
                                          <w:marBottom w:val="0"/>
                                          <w:divBdr>
                                            <w:top w:val="single" w:sz="2" w:space="0" w:color="E5E7EB"/>
                                            <w:left w:val="single" w:sz="2" w:space="0" w:color="E5E7EB"/>
                                            <w:bottom w:val="single" w:sz="2" w:space="0" w:color="E5E7EB"/>
                                            <w:right w:val="single" w:sz="2" w:space="0" w:color="E5E7EB"/>
                                          </w:divBdr>
                                          <w:divsChild>
                                            <w:div w:id="1510370844">
                                              <w:marLeft w:val="0"/>
                                              <w:marRight w:val="0"/>
                                              <w:marTop w:val="0"/>
                                              <w:marBottom w:val="0"/>
                                              <w:divBdr>
                                                <w:top w:val="single" w:sz="2" w:space="0" w:color="E5E7EB"/>
                                                <w:left w:val="single" w:sz="2" w:space="0" w:color="E5E7EB"/>
                                                <w:bottom w:val="single" w:sz="2" w:space="0" w:color="E5E7EB"/>
                                                <w:right w:val="single" w:sz="2" w:space="0" w:color="E5E7EB"/>
                                              </w:divBdr>
                                              <w:divsChild>
                                                <w:div w:id="474227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00834669">
                                      <w:marLeft w:val="0"/>
                                      <w:marRight w:val="0"/>
                                      <w:marTop w:val="0"/>
                                      <w:marBottom w:val="0"/>
                                      <w:divBdr>
                                        <w:top w:val="single" w:sz="2" w:space="0" w:color="E5E7EB"/>
                                        <w:left w:val="single" w:sz="2" w:space="0" w:color="E5E7EB"/>
                                        <w:bottom w:val="single" w:sz="2" w:space="0" w:color="E5E7EB"/>
                                        <w:right w:val="single" w:sz="2" w:space="0" w:color="E5E7EB"/>
                                      </w:divBdr>
                                      <w:divsChild>
                                        <w:div w:id="1113786262">
                                          <w:marLeft w:val="0"/>
                                          <w:marRight w:val="0"/>
                                          <w:marTop w:val="0"/>
                                          <w:marBottom w:val="0"/>
                                          <w:divBdr>
                                            <w:top w:val="single" w:sz="2" w:space="5" w:color="E5E7EB"/>
                                            <w:left w:val="single" w:sz="2" w:space="6" w:color="E5E7EB"/>
                                            <w:bottom w:val="single" w:sz="2" w:space="5" w:color="E5E7EB"/>
                                            <w:right w:val="single" w:sz="2" w:space="6" w:color="E5E7EB"/>
                                          </w:divBdr>
                                        </w:div>
                                      </w:divsChild>
                                    </w:div>
                                  </w:divsChild>
                                </w:div>
                              </w:divsChild>
                            </w:div>
                          </w:divsChild>
                        </w:div>
                      </w:divsChild>
                    </w:div>
                  </w:divsChild>
                </w:div>
              </w:divsChild>
            </w:div>
          </w:divsChild>
        </w:div>
      </w:divsChild>
    </w:div>
    <w:div w:id="1334453259">
      <w:bodyDiv w:val="1"/>
      <w:marLeft w:val="0"/>
      <w:marRight w:val="0"/>
      <w:marTop w:val="0"/>
      <w:marBottom w:val="0"/>
      <w:divBdr>
        <w:top w:val="none" w:sz="0" w:space="0" w:color="auto"/>
        <w:left w:val="none" w:sz="0" w:space="0" w:color="auto"/>
        <w:bottom w:val="none" w:sz="0" w:space="0" w:color="auto"/>
        <w:right w:val="none" w:sz="0" w:space="0" w:color="auto"/>
      </w:divBdr>
    </w:div>
    <w:div w:id="1453983504">
      <w:bodyDiv w:val="1"/>
      <w:marLeft w:val="0"/>
      <w:marRight w:val="0"/>
      <w:marTop w:val="0"/>
      <w:marBottom w:val="0"/>
      <w:divBdr>
        <w:top w:val="none" w:sz="0" w:space="0" w:color="auto"/>
        <w:left w:val="none" w:sz="0" w:space="0" w:color="auto"/>
        <w:bottom w:val="none" w:sz="0" w:space="0" w:color="auto"/>
        <w:right w:val="none" w:sz="0" w:space="0" w:color="auto"/>
      </w:divBdr>
    </w:div>
    <w:div w:id="1458992672">
      <w:bodyDiv w:val="1"/>
      <w:marLeft w:val="0"/>
      <w:marRight w:val="0"/>
      <w:marTop w:val="0"/>
      <w:marBottom w:val="0"/>
      <w:divBdr>
        <w:top w:val="none" w:sz="0" w:space="0" w:color="auto"/>
        <w:left w:val="none" w:sz="0" w:space="0" w:color="auto"/>
        <w:bottom w:val="none" w:sz="0" w:space="0" w:color="auto"/>
        <w:right w:val="none" w:sz="0" w:space="0" w:color="auto"/>
      </w:divBdr>
    </w:div>
    <w:div w:id="1732194991">
      <w:bodyDiv w:val="1"/>
      <w:marLeft w:val="0"/>
      <w:marRight w:val="0"/>
      <w:marTop w:val="0"/>
      <w:marBottom w:val="0"/>
      <w:divBdr>
        <w:top w:val="none" w:sz="0" w:space="0" w:color="auto"/>
        <w:left w:val="none" w:sz="0" w:space="0" w:color="auto"/>
        <w:bottom w:val="none" w:sz="0" w:space="0" w:color="auto"/>
        <w:right w:val="none" w:sz="0" w:space="0" w:color="auto"/>
      </w:divBdr>
    </w:div>
    <w:div w:id="1862208869">
      <w:bodyDiv w:val="1"/>
      <w:marLeft w:val="0"/>
      <w:marRight w:val="0"/>
      <w:marTop w:val="0"/>
      <w:marBottom w:val="0"/>
      <w:divBdr>
        <w:top w:val="none" w:sz="0" w:space="0" w:color="auto"/>
        <w:left w:val="none" w:sz="0" w:space="0" w:color="auto"/>
        <w:bottom w:val="none" w:sz="0" w:space="0" w:color="auto"/>
        <w:right w:val="none" w:sz="0" w:space="0" w:color="auto"/>
      </w:divBdr>
    </w:div>
    <w:div w:id="1991788471">
      <w:bodyDiv w:val="1"/>
      <w:marLeft w:val="0"/>
      <w:marRight w:val="0"/>
      <w:marTop w:val="0"/>
      <w:marBottom w:val="0"/>
      <w:divBdr>
        <w:top w:val="none" w:sz="0" w:space="0" w:color="auto"/>
        <w:left w:val="none" w:sz="0" w:space="0" w:color="auto"/>
        <w:bottom w:val="none" w:sz="0" w:space="0" w:color="auto"/>
        <w:right w:val="none" w:sz="0" w:space="0" w:color="auto"/>
      </w:divBdr>
      <w:divsChild>
        <w:div w:id="299657386">
          <w:marLeft w:val="0"/>
          <w:marRight w:val="0"/>
          <w:marTop w:val="0"/>
          <w:marBottom w:val="0"/>
          <w:divBdr>
            <w:top w:val="none" w:sz="0" w:space="0" w:color="auto"/>
            <w:left w:val="none" w:sz="0" w:space="0" w:color="auto"/>
            <w:bottom w:val="none" w:sz="0" w:space="0" w:color="auto"/>
            <w:right w:val="none" w:sz="0" w:space="0" w:color="auto"/>
          </w:divBdr>
          <w:divsChild>
            <w:div w:id="678894097">
              <w:marLeft w:val="0"/>
              <w:marRight w:val="0"/>
              <w:marTop w:val="0"/>
              <w:marBottom w:val="0"/>
              <w:divBdr>
                <w:top w:val="none" w:sz="0" w:space="0" w:color="auto"/>
                <w:left w:val="none" w:sz="0" w:space="0" w:color="auto"/>
                <w:bottom w:val="none" w:sz="0" w:space="0" w:color="auto"/>
                <w:right w:val="none" w:sz="0" w:space="0" w:color="auto"/>
              </w:divBdr>
              <w:divsChild>
                <w:div w:id="1703508124">
                  <w:marLeft w:val="0"/>
                  <w:marRight w:val="0"/>
                  <w:marTop w:val="0"/>
                  <w:marBottom w:val="0"/>
                  <w:divBdr>
                    <w:top w:val="none" w:sz="0" w:space="0" w:color="auto"/>
                    <w:left w:val="none" w:sz="0" w:space="0" w:color="auto"/>
                    <w:bottom w:val="none" w:sz="0" w:space="0" w:color="auto"/>
                    <w:right w:val="none" w:sz="0" w:space="0" w:color="auto"/>
                  </w:divBdr>
                  <w:divsChild>
                    <w:div w:id="1888880970">
                      <w:marLeft w:val="0"/>
                      <w:marRight w:val="0"/>
                      <w:marTop w:val="0"/>
                      <w:marBottom w:val="0"/>
                      <w:divBdr>
                        <w:top w:val="none" w:sz="0" w:space="0" w:color="auto"/>
                        <w:left w:val="none" w:sz="0" w:space="0" w:color="auto"/>
                        <w:bottom w:val="none" w:sz="0" w:space="0" w:color="auto"/>
                        <w:right w:val="none" w:sz="0" w:space="0" w:color="auto"/>
                      </w:divBdr>
                      <w:divsChild>
                        <w:div w:id="709499695">
                          <w:marLeft w:val="0"/>
                          <w:marRight w:val="0"/>
                          <w:marTop w:val="0"/>
                          <w:marBottom w:val="0"/>
                          <w:divBdr>
                            <w:top w:val="none" w:sz="0" w:space="0" w:color="auto"/>
                            <w:left w:val="none" w:sz="0" w:space="0" w:color="auto"/>
                            <w:bottom w:val="none" w:sz="0" w:space="0" w:color="auto"/>
                            <w:right w:val="none" w:sz="0" w:space="0" w:color="auto"/>
                          </w:divBdr>
                          <w:divsChild>
                            <w:div w:id="765731330">
                              <w:marLeft w:val="0"/>
                              <w:marRight w:val="0"/>
                              <w:marTop w:val="0"/>
                              <w:marBottom w:val="0"/>
                              <w:divBdr>
                                <w:top w:val="none" w:sz="0" w:space="0" w:color="auto"/>
                                <w:left w:val="none" w:sz="0" w:space="0" w:color="auto"/>
                                <w:bottom w:val="none" w:sz="0" w:space="0" w:color="auto"/>
                                <w:right w:val="none" w:sz="0" w:space="0" w:color="auto"/>
                              </w:divBdr>
                              <w:divsChild>
                                <w:div w:id="8674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446653">
          <w:marLeft w:val="0"/>
          <w:marRight w:val="0"/>
          <w:marTop w:val="0"/>
          <w:marBottom w:val="0"/>
          <w:divBdr>
            <w:top w:val="none" w:sz="0" w:space="0" w:color="auto"/>
            <w:left w:val="none" w:sz="0" w:space="0" w:color="auto"/>
            <w:bottom w:val="none" w:sz="0" w:space="0" w:color="auto"/>
            <w:right w:val="none" w:sz="0" w:space="0" w:color="auto"/>
          </w:divBdr>
          <w:divsChild>
            <w:div w:id="574627105">
              <w:marLeft w:val="0"/>
              <w:marRight w:val="0"/>
              <w:marTop w:val="0"/>
              <w:marBottom w:val="0"/>
              <w:divBdr>
                <w:top w:val="none" w:sz="0" w:space="0" w:color="auto"/>
                <w:left w:val="none" w:sz="0" w:space="0" w:color="auto"/>
                <w:bottom w:val="none" w:sz="0" w:space="0" w:color="auto"/>
                <w:right w:val="none" w:sz="0" w:space="0" w:color="auto"/>
              </w:divBdr>
              <w:divsChild>
                <w:div w:id="2063871137">
                  <w:marLeft w:val="0"/>
                  <w:marRight w:val="0"/>
                  <w:marTop w:val="0"/>
                  <w:marBottom w:val="0"/>
                  <w:divBdr>
                    <w:top w:val="none" w:sz="0" w:space="0" w:color="auto"/>
                    <w:left w:val="none" w:sz="0" w:space="0" w:color="auto"/>
                    <w:bottom w:val="none" w:sz="0" w:space="0" w:color="auto"/>
                    <w:right w:val="none" w:sz="0" w:space="0" w:color="auto"/>
                  </w:divBdr>
                  <w:divsChild>
                    <w:div w:id="14825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0299">
              <w:marLeft w:val="0"/>
              <w:marRight w:val="0"/>
              <w:marTop w:val="0"/>
              <w:marBottom w:val="0"/>
              <w:divBdr>
                <w:top w:val="none" w:sz="0" w:space="0" w:color="auto"/>
                <w:left w:val="none" w:sz="0" w:space="0" w:color="auto"/>
                <w:bottom w:val="none" w:sz="0" w:space="0" w:color="auto"/>
                <w:right w:val="none" w:sz="0" w:space="0" w:color="auto"/>
              </w:divBdr>
              <w:divsChild>
                <w:div w:id="1162114722">
                  <w:marLeft w:val="0"/>
                  <w:marRight w:val="0"/>
                  <w:marTop w:val="0"/>
                  <w:marBottom w:val="0"/>
                  <w:divBdr>
                    <w:top w:val="none" w:sz="0" w:space="0" w:color="auto"/>
                    <w:left w:val="none" w:sz="0" w:space="0" w:color="auto"/>
                    <w:bottom w:val="none" w:sz="0" w:space="0" w:color="auto"/>
                    <w:right w:val="none" w:sz="0" w:space="0" w:color="auto"/>
                  </w:divBdr>
                  <w:divsChild>
                    <w:div w:id="693263782">
                      <w:marLeft w:val="0"/>
                      <w:marRight w:val="0"/>
                      <w:marTop w:val="0"/>
                      <w:marBottom w:val="0"/>
                      <w:divBdr>
                        <w:top w:val="none" w:sz="0" w:space="0" w:color="auto"/>
                        <w:left w:val="none" w:sz="0" w:space="0" w:color="auto"/>
                        <w:bottom w:val="none" w:sz="0" w:space="0" w:color="auto"/>
                        <w:right w:val="none" w:sz="0" w:space="0" w:color="auto"/>
                      </w:divBdr>
                      <w:divsChild>
                        <w:div w:id="1414551736">
                          <w:marLeft w:val="0"/>
                          <w:marRight w:val="0"/>
                          <w:marTop w:val="0"/>
                          <w:marBottom w:val="0"/>
                          <w:divBdr>
                            <w:top w:val="none" w:sz="0" w:space="0" w:color="auto"/>
                            <w:left w:val="none" w:sz="0" w:space="0" w:color="auto"/>
                            <w:bottom w:val="none" w:sz="0" w:space="0" w:color="auto"/>
                            <w:right w:val="none" w:sz="0" w:space="0" w:color="auto"/>
                          </w:divBdr>
                          <w:divsChild>
                            <w:div w:id="1066874122">
                              <w:marLeft w:val="0"/>
                              <w:marRight w:val="0"/>
                              <w:marTop w:val="0"/>
                              <w:marBottom w:val="0"/>
                              <w:divBdr>
                                <w:top w:val="none" w:sz="0" w:space="0" w:color="auto"/>
                                <w:left w:val="none" w:sz="0" w:space="0" w:color="auto"/>
                                <w:bottom w:val="none" w:sz="0" w:space="0" w:color="auto"/>
                                <w:right w:val="none" w:sz="0" w:space="0" w:color="auto"/>
                              </w:divBdr>
                              <w:divsChild>
                                <w:div w:id="674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doi.org/10.1016/j.eurpolymj.2020.109621" TargetMode="External"/><Relationship Id="rId21" Type="http://schemas.openxmlformats.org/officeDocument/2006/relationships/oleObject" Target="embeddings/oleObject1.bin"/><Relationship Id="rId34" Type="http://schemas.openxmlformats.org/officeDocument/2006/relationships/hyperlink" Target="https://doi.org/10.3390/molecules26195905" TargetMode="External"/><Relationship Id="rId42" Type="http://schemas.openxmlformats.org/officeDocument/2006/relationships/hyperlink" Target="https://doi.org/10.3390/polym13091436" TargetMode="External"/><Relationship Id="rId47" Type="http://schemas.openxmlformats.org/officeDocument/2006/relationships/hyperlink" Target="https://doi.org/10.3390/pharmaceutics13040464" TargetMode="External"/><Relationship Id="rId50" Type="http://schemas.openxmlformats.org/officeDocument/2006/relationships/hyperlink" Target="https://www.google.com/search?q=https://doi.org/10.1016/j.msec.2020.110688" TargetMode="External"/><Relationship Id="rId55" Type="http://schemas.openxmlformats.org/officeDocument/2006/relationships/hyperlink" Target="https://doi.org/10.1016/j.lfs.2020.11897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image" Target="media/image14.png"/><Relationship Id="rId41" Type="http://schemas.openxmlformats.org/officeDocument/2006/relationships/hyperlink" Target="https://www.google.com/search?q=https://doi.org/10.3390/jcs8010022" TargetMode="External"/><Relationship Id="rId54" Type="http://schemas.openxmlformats.org/officeDocument/2006/relationships/hyperlink" Target="https://doi.org/10.3390/mi110907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doi.org/10.1016/j.phrs.2024.107086" TargetMode="External"/><Relationship Id="rId40" Type="http://schemas.openxmlformats.org/officeDocument/2006/relationships/hyperlink" Target="https://doi.org/10.3389/fbioe.2021.617141" TargetMode="External"/><Relationship Id="rId45" Type="http://schemas.openxmlformats.org/officeDocument/2006/relationships/hyperlink" Target="https://www.google.com/search?q=https://doi.org/10.1007/978-3-030-64222-7_17" TargetMode="External"/><Relationship Id="rId53" Type="http://schemas.openxmlformats.org/officeDocument/2006/relationships/hyperlink" Target="https://www.google.com/search?q=https://doi.org/10.1016/j.bprint.2022.e00244" TargetMode="External"/><Relationship Id="rId58" Type="http://schemas.openxmlformats.org/officeDocument/2006/relationships/hyperlink" Target="https://www.google.com/search?q=https://doi.org/10.2217/pgs.14.116"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13.png"/><Relationship Id="rId36" Type="http://schemas.openxmlformats.org/officeDocument/2006/relationships/hyperlink" Target="https://doi.org/10.1016/j.jconrel.2021.12.030" TargetMode="External"/><Relationship Id="rId49" Type="http://schemas.openxmlformats.org/officeDocument/2006/relationships/hyperlink" Target="https://doi.org/10.1016/j.ijbiomac.2024.131847" TargetMode="External"/><Relationship Id="rId57" Type="http://schemas.openxmlformats.org/officeDocument/2006/relationships/hyperlink" Target="https://doi.org/10.3390/bioengineering10020218"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https://www.google.com/search?q=https://doi.org/10.1186/s40824-020-00181-y" TargetMode="External"/><Relationship Id="rId52" Type="http://schemas.openxmlformats.org/officeDocument/2006/relationships/hyperlink" Target="https://www.google.com/search?q=https://doi.org/10.3390/polym14051032"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hemrevlett.com" TargetMode="Externa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1007/978-1-4939-9798-5_1" TargetMode="External"/><Relationship Id="rId43" Type="http://schemas.openxmlformats.org/officeDocument/2006/relationships/hyperlink" Target="https://doi.org/10.1557/jmr.2020.109" TargetMode="External"/><Relationship Id="rId48" Type="http://schemas.openxmlformats.org/officeDocument/2006/relationships/hyperlink" Target="https://doi.org/10.1002/wnan.1965" TargetMode="External"/><Relationship Id="rId56" Type="http://schemas.openxmlformats.org/officeDocument/2006/relationships/hyperlink" Target="https://doi.org/10.3390/bioengineering11060593" TargetMode="External"/><Relationship Id="rId8" Type="http://schemas.openxmlformats.org/officeDocument/2006/relationships/image" Target="media/image1.jpeg"/><Relationship Id="rId51" Type="http://schemas.openxmlformats.org/officeDocument/2006/relationships/hyperlink" Target="https://doi.org/10.1016/j.bioactmat.2019.10.005"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yperlink" Target="https://www.google.com/search?q=https://doi.org/10.1002/wnan.1954" TargetMode="External"/><Relationship Id="rId46" Type="http://schemas.openxmlformats.org/officeDocument/2006/relationships/hyperlink" Target="https://doi.org/10.1002/jcp.29935" TargetMode="External"/><Relationship Id="rId59" Type="http://schemas.openxmlformats.org/officeDocument/2006/relationships/hyperlink" Target="https://www.google.com/search?q=https://doi.org/10.24996/ijs.2023.64.4.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legalcode" TargetMode="External"/><Relationship Id="rId2" Type="http://schemas.openxmlformats.org/officeDocument/2006/relationships/image" Target="media/image3.jpeg"/><Relationship Id="rId1" Type="http://schemas.openxmlformats.org/officeDocument/2006/relationships/hyperlink" Target="https://doi.org/10.22034/crl.2024.486426.14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loughlins\Local%20Settings\Temporary%20Internet%20Files\Content.Outlook\20TG5JLQ\TetrahedronLetters%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4D5FB-903B-4BB4-B1E2-0C315F15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TetrahedronLetters (2).dot</Template>
  <TotalTime>1</TotalTime>
  <Pages>10</Pages>
  <Words>9081</Words>
  <Characters>51768</Characters>
  <Application>Microsoft Office Word</Application>
  <DocSecurity>0</DocSecurity>
  <Lines>431</Lines>
  <Paragraphs>121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ChemRevLett.com</vt:lpstr>
      <vt:lpstr>ChemRevLett.com</vt:lpstr>
    </vt:vector>
  </TitlesOfParts>
  <Company>TnQ</Company>
  <LinksUpToDate>false</LinksUpToDate>
  <CharactersWithSpaces>60728</CharactersWithSpaces>
  <SharedDoc>false</SharedDoc>
  <HLinks>
    <vt:vector size="78" baseType="variant">
      <vt:variant>
        <vt:i4>6619262</vt:i4>
      </vt:variant>
      <vt:variant>
        <vt:i4>45</vt:i4>
      </vt:variant>
      <vt:variant>
        <vt:i4>0</vt:i4>
      </vt:variant>
      <vt:variant>
        <vt:i4>5</vt:i4>
      </vt:variant>
      <vt:variant>
        <vt:lpwstr>https://www.sciencedirect.com/science/article/pii/S0167732211002777</vt:lpwstr>
      </vt:variant>
      <vt:variant>
        <vt:lpwstr/>
      </vt:variant>
      <vt:variant>
        <vt:i4>6291564</vt:i4>
      </vt:variant>
      <vt:variant>
        <vt:i4>42</vt:i4>
      </vt:variant>
      <vt:variant>
        <vt:i4>0</vt:i4>
      </vt:variant>
      <vt:variant>
        <vt:i4>5</vt:i4>
      </vt:variant>
      <vt:variant>
        <vt:lpwstr>javascript:void(0)</vt:lpwstr>
      </vt:variant>
      <vt:variant>
        <vt:lpwstr/>
      </vt:variant>
      <vt:variant>
        <vt:i4>6291564</vt:i4>
      </vt:variant>
      <vt:variant>
        <vt:i4>39</vt:i4>
      </vt:variant>
      <vt:variant>
        <vt:i4>0</vt:i4>
      </vt:variant>
      <vt:variant>
        <vt:i4>5</vt:i4>
      </vt:variant>
      <vt:variant>
        <vt:lpwstr>javascript:void(0)</vt:lpwstr>
      </vt:variant>
      <vt:variant>
        <vt:lpwstr/>
      </vt:variant>
      <vt:variant>
        <vt:i4>6291572</vt:i4>
      </vt:variant>
      <vt:variant>
        <vt:i4>36</vt:i4>
      </vt:variant>
      <vt:variant>
        <vt:i4>0</vt:i4>
      </vt:variant>
      <vt:variant>
        <vt:i4>5</vt:i4>
      </vt:variant>
      <vt:variant>
        <vt:lpwstr>https://www.sciencedirect.com/science/article/pii/S1631074814000757</vt:lpwstr>
      </vt:variant>
      <vt:variant>
        <vt:lpwstr/>
      </vt:variant>
      <vt:variant>
        <vt:i4>6422650</vt:i4>
      </vt:variant>
      <vt:variant>
        <vt:i4>33</vt:i4>
      </vt:variant>
      <vt:variant>
        <vt:i4>0</vt:i4>
      </vt:variant>
      <vt:variant>
        <vt:i4>5</vt:i4>
      </vt:variant>
      <vt:variant>
        <vt:lpwstr>https://www.sciencedirect.com/science/article/pii/S0167732213004169</vt:lpwstr>
      </vt:variant>
      <vt:variant>
        <vt:lpwstr/>
      </vt:variant>
      <vt:variant>
        <vt:i4>6291564</vt:i4>
      </vt:variant>
      <vt:variant>
        <vt:i4>30</vt:i4>
      </vt:variant>
      <vt:variant>
        <vt:i4>0</vt:i4>
      </vt:variant>
      <vt:variant>
        <vt:i4>5</vt:i4>
      </vt:variant>
      <vt:variant>
        <vt:lpwstr>javascript:void(0)</vt:lpwstr>
      </vt:variant>
      <vt:variant>
        <vt:lpwstr/>
      </vt:variant>
      <vt:variant>
        <vt:i4>6619262</vt:i4>
      </vt:variant>
      <vt:variant>
        <vt:i4>27</vt:i4>
      </vt:variant>
      <vt:variant>
        <vt:i4>0</vt:i4>
      </vt:variant>
      <vt:variant>
        <vt:i4>5</vt:i4>
      </vt:variant>
      <vt:variant>
        <vt:lpwstr>https://www.sciencedirect.com/science/article/pii/S1350417715300122</vt:lpwstr>
      </vt:variant>
      <vt:variant>
        <vt:lpwstr/>
      </vt:variant>
      <vt:variant>
        <vt:i4>6291564</vt:i4>
      </vt:variant>
      <vt:variant>
        <vt:i4>24</vt:i4>
      </vt:variant>
      <vt:variant>
        <vt:i4>0</vt:i4>
      </vt:variant>
      <vt:variant>
        <vt:i4>5</vt:i4>
      </vt:variant>
      <vt:variant>
        <vt:lpwstr>javascript:void(0)</vt:lpwstr>
      </vt:variant>
      <vt:variant>
        <vt:lpwstr/>
      </vt:variant>
      <vt:variant>
        <vt:i4>6291564</vt:i4>
      </vt:variant>
      <vt:variant>
        <vt:i4>21</vt:i4>
      </vt:variant>
      <vt:variant>
        <vt:i4>0</vt:i4>
      </vt:variant>
      <vt:variant>
        <vt:i4>5</vt:i4>
      </vt:variant>
      <vt:variant>
        <vt:lpwstr>javascript:void(0)</vt:lpwstr>
      </vt:variant>
      <vt:variant>
        <vt:lpwstr/>
      </vt:variant>
      <vt:variant>
        <vt:i4>6291564</vt:i4>
      </vt:variant>
      <vt:variant>
        <vt:i4>18</vt:i4>
      </vt:variant>
      <vt:variant>
        <vt:i4>0</vt:i4>
      </vt:variant>
      <vt:variant>
        <vt:i4>5</vt:i4>
      </vt:variant>
      <vt:variant>
        <vt:lpwstr>javascript:void(0)</vt:lpwstr>
      </vt:variant>
      <vt:variant>
        <vt:lpwstr/>
      </vt:variant>
      <vt:variant>
        <vt:i4>8192117</vt:i4>
      </vt:variant>
      <vt:variant>
        <vt:i4>15</vt:i4>
      </vt:variant>
      <vt:variant>
        <vt:i4>0</vt:i4>
      </vt:variant>
      <vt:variant>
        <vt:i4>5</vt:i4>
      </vt:variant>
      <vt:variant>
        <vt:lpwstr>https://onlinelibrary.wiley.com/doi/abs/10.1002/chem.201202886</vt:lpwstr>
      </vt:variant>
      <vt:variant>
        <vt:lpwstr/>
      </vt:variant>
      <vt:variant>
        <vt:i4>5701683</vt:i4>
      </vt:variant>
      <vt:variant>
        <vt:i4>3</vt:i4>
      </vt:variant>
      <vt:variant>
        <vt:i4>0</vt:i4>
      </vt:variant>
      <vt:variant>
        <vt:i4>5</vt:i4>
      </vt:variant>
      <vt:variant>
        <vt:lpwstr>https://www.google.com/url?sa=t&amp;rct=j&amp;q=&amp;esrc=s&amp;source=web&amp;cd=2&amp;cad=rja&amp;uact=8&amp;ved=0CCYQFjABahUKEwi8kaaIzsfHAhVBvBQKHdcmCmw&amp;url=https%3A%2F%2Fen.wikipedia.org%2Fwiki%2FProton_nuclear_magnetic_resonance&amp;ei=iSTeVfyoOMH4UtfNqOAG&amp;usg=AFQjCNH8jdMJ6TSg3M0gvnqG3e-cPte0_w</vt:lpwstr>
      </vt:variant>
      <vt:variant>
        <vt:lpwstr/>
      </vt:variant>
      <vt:variant>
        <vt:i4>3539049</vt:i4>
      </vt:variant>
      <vt:variant>
        <vt:i4>0</vt:i4>
      </vt:variant>
      <vt:variant>
        <vt:i4>0</vt:i4>
      </vt:variant>
      <vt:variant>
        <vt:i4>5</vt:i4>
      </vt:variant>
      <vt:variant>
        <vt:lpwstr>http://www.chemrevlett.com/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ChemRevLett.com</dc:title>
  <dc:creator>Sarah O'Loughlin</dc:creator>
  <cp:lastModifiedBy>admin</cp:lastModifiedBy>
  <cp:revision>2</cp:revision>
  <cp:lastPrinted>2023-09-30T16:42:00Z</cp:lastPrinted>
  <dcterms:created xsi:type="dcterms:W3CDTF">2025-09-03T23:29:00Z</dcterms:created>
  <dcterms:modified xsi:type="dcterms:W3CDTF">2025-09-03T23:29:00Z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7c59ab89d54d24d9bda7d08c007de24ebb49519f81d770d7894be6a06bc523c2</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http://www.zotero.org/styles/journal-of-environmental-chemical-engineering</vt:lpwstr>
  </property>
  <property fmtid="{D5CDD505-2E9C-101B-9397-08002B2CF9AE}" pid="14" name="Mendeley Recent Style Name 5_1">
    <vt:lpwstr>Journal of Environmental Chemical Engineering</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2f10a7b5-b7f9-3225-8391-6172576723d1</vt:lpwstr>
  </property>
  <property fmtid="{D5CDD505-2E9C-101B-9397-08002B2CF9AE}" pid="25" name="Mendeley Citation Style_1">
    <vt:lpwstr>http://www.zotero.org/styles/vancouver</vt:lpwstr>
  </property>
</Properties>
</file>