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338DF" w14:textId="37BD05FC" w:rsidR="00C45E64" w:rsidRDefault="002F4A41" w:rsidP="002F4A41">
      <w:pPr>
        <w:bidi w:val="0"/>
        <w:jc w:val="both"/>
        <w:rPr>
          <w:rFonts w:asciiTheme="majorBidi" w:hAnsiTheme="majorBidi" w:cstheme="majorBidi"/>
          <w:sz w:val="28"/>
          <w:szCs w:val="28"/>
          <w:lang w:bidi="ar-IQ"/>
        </w:rPr>
      </w:pPr>
      <w:r>
        <w:rPr>
          <w:rFonts w:asciiTheme="majorBidi" w:hAnsiTheme="majorBidi" w:cstheme="majorBidi"/>
          <w:sz w:val="28"/>
          <w:szCs w:val="28"/>
          <w:lang w:bidi="ar-IQ"/>
        </w:rPr>
        <w:fldChar w:fldCharType="begin"/>
      </w:r>
      <w:r>
        <w:rPr>
          <w:rFonts w:asciiTheme="majorBidi" w:hAnsiTheme="majorBidi" w:cstheme="majorBidi"/>
          <w:sz w:val="28"/>
          <w:szCs w:val="28"/>
          <w:lang w:bidi="ar-IQ"/>
        </w:rPr>
        <w:instrText xml:space="preserve"> HYPERLINK "</w:instrText>
      </w:r>
      <w:r w:rsidRPr="002F4A41">
        <w:rPr>
          <w:rFonts w:asciiTheme="majorBidi" w:hAnsiTheme="majorBidi" w:cstheme="majorBidi"/>
          <w:sz w:val="28"/>
          <w:szCs w:val="28"/>
          <w:lang w:bidi="ar-IQ"/>
        </w:rPr>
        <w:instrText>https://doi.org/10.70082/esiculture.vi.1579</w:instrText>
      </w:r>
      <w:r>
        <w:rPr>
          <w:rFonts w:asciiTheme="majorBidi" w:hAnsiTheme="majorBidi" w:cstheme="majorBidi"/>
          <w:sz w:val="28"/>
          <w:szCs w:val="28"/>
          <w:lang w:bidi="ar-IQ"/>
        </w:rPr>
        <w:instrText xml:space="preserve">" </w:instrText>
      </w:r>
      <w:r>
        <w:rPr>
          <w:rFonts w:asciiTheme="majorBidi" w:hAnsiTheme="majorBidi" w:cstheme="majorBidi"/>
          <w:sz w:val="28"/>
          <w:szCs w:val="28"/>
          <w:lang w:bidi="ar-IQ"/>
        </w:rPr>
        <w:fldChar w:fldCharType="separate"/>
      </w:r>
      <w:r w:rsidRPr="00EA43B4">
        <w:rPr>
          <w:rStyle w:val="Hyperlink"/>
          <w:rFonts w:asciiTheme="majorBidi" w:hAnsiTheme="majorBidi" w:cstheme="majorBidi"/>
          <w:sz w:val="28"/>
          <w:szCs w:val="28"/>
          <w:lang w:bidi="ar-IQ"/>
        </w:rPr>
        <w:t>https://doi.org/10.70082/esiculture.vi.1579</w:t>
      </w:r>
      <w:r>
        <w:rPr>
          <w:rFonts w:asciiTheme="majorBidi" w:hAnsiTheme="majorBidi" w:cstheme="majorBidi"/>
          <w:sz w:val="28"/>
          <w:szCs w:val="28"/>
          <w:lang w:bidi="ar-IQ"/>
        </w:rPr>
        <w:fldChar w:fldCharType="end"/>
      </w:r>
    </w:p>
    <w:p w14:paraId="6B47BD5B" w14:textId="77777777" w:rsidR="002F4A41" w:rsidRPr="002F4A41" w:rsidRDefault="002F4A41" w:rsidP="002F4A41">
      <w:pPr>
        <w:bidi w:val="0"/>
        <w:jc w:val="both"/>
        <w:rPr>
          <w:rFonts w:asciiTheme="majorBidi" w:hAnsiTheme="majorBidi" w:cstheme="majorBidi"/>
          <w:sz w:val="28"/>
          <w:szCs w:val="28"/>
          <w:lang w:bidi="ar-IQ"/>
        </w:rPr>
      </w:pPr>
      <w:r w:rsidRPr="002F4A41">
        <w:rPr>
          <w:rFonts w:asciiTheme="majorBidi" w:hAnsiTheme="majorBidi" w:cstheme="majorBidi"/>
          <w:sz w:val="28"/>
          <w:szCs w:val="28"/>
          <w:lang w:bidi="ar-IQ"/>
        </w:rPr>
        <w:t>Manar Munir Mohamed</w:t>
      </w:r>
    </w:p>
    <w:p w14:paraId="3A3847B1" w14:textId="77777777" w:rsidR="002F4A41" w:rsidRPr="002F4A41" w:rsidRDefault="002F4A41" w:rsidP="002F4A41">
      <w:pPr>
        <w:bidi w:val="0"/>
        <w:jc w:val="both"/>
        <w:rPr>
          <w:rFonts w:asciiTheme="majorBidi" w:hAnsiTheme="majorBidi" w:cstheme="majorBidi"/>
          <w:sz w:val="28"/>
          <w:szCs w:val="28"/>
          <w:lang w:bidi="ar-IQ"/>
        </w:rPr>
      </w:pPr>
      <w:r w:rsidRPr="002F4A41">
        <w:rPr>
          <w:rFonts w:asciiTheme="majorBidi" w:hAnsiTheme="majorBidi" w:cstheme="majorBidi"/>
          <w:sz w:val="28"/>
          <w:szCs w:val="28"/>
          <w:lang w:bidi="ar-IQ"/>
        </w:rPr>
        <w:t>University of Basrah, College of Fine Arts, Iraq</w:t>
      </w:r>
    </w:p>
    <w:p w14:paraId="1C23200E" w14:textId="77777777" w:rsidR="002F4A41" w:rsidRPr="002F4A41" w:rsidRDefault="002F4A41" w:rsidP="002F4A41">
      <w:pPr>
        <w:bidi w:val="0"/>
        <w:jc w:val="both"/>
        <w:rPr>
          <w:rFonts w:asciiTheme="majorBidi" w:hAnsiTheme="majorBidi" w:cstheme="majorBidi"/>
          <w:sz w:val="28"/>
          <w:szCs w:val="28"/>
          <w:lang w:bidi="ar-IQ"/>
        </w:rPr>
      </w:pPr>
      <w:r w:rsidRPr="002F4A41">
        <w:rPr>
          <w:rFonts w:asciiTheme="majorBidi" w:hAnsiTheme="majorBidi" w:cstheme="majorBidi"/>
          <w:sz w:val="28"/>
          <w:szCs w:val="28"/>
          <w:lang w:bidi="ar-IQ"/>
        </w:rPr>
        <w:t>Dr. Rula Abdul-Ilah Alwan Al-Nuaimi</w:t>
      </w:r>
    </w:p>
    <w:p w14:paraId="0A9168E5" w14:textId="77777777" w:rsidR="002F4A41" w:rsidRPr="002F4A41" w:rsidRDefault="002F4A41" w:rsidP="002F4A41">
      <w:pPr>
        <w:bidi w:val="0"/>
        <w:jc w:val="both"/>
        <w:rPr>
          <w:rFonts w:asciiTheme="majorBidi" w:hAnsiTheme="majorBidi" w:cstheme="majorBidi"/>
          <w:sz w:val="28"/>
          <w:szCs w:val="28"/>
          <w:lang w:bidi="ar-IQ"/>
        </w:rPr>
      </w:pPr>
      <w:r w:rsidRPr="002F4A41">
        <w:rPr>
          <w:rFonts w:asciiTheme="majorBidi" w:hAnsiTheme="majorBidi" w:cstheme="majorBidi"/>
          <w:sz w:val="28"/>
          <w:szCs w:val="28"/>
          <w:lang w:bidi="ar-IQ"/>
        </w:rPr>
        <w:t>University of Basrah, College of Fine Arts, Iraq</w:t>
      </w:r>
    </w:p>
    <w:p w14:paraId="0771C853" w14:textId="77777777" w:rsidR="002F4A41" w:rsidRPr="002F4A41" w:rsidRDefault="002F4A41" w:rsidP="002F4A41">
      <w:pPr>
        <w:bidi w:val="0"/>
        <w:jc w:val="both"/>
        <w:rPr>
          <w:rFonts w:asciiTheme="majorBidi" w:hAnsiTheme="majorBidi" w:cstheme="majorBidi"/>
          <w:sz w:val="28"/>
          <w:szCs w:val="28"/>
          <w:lang w:bidi="ar-IQ"/>
        </w:rPr>
      </w:pPr>
      <w:r w:rsidRPr="002F4A41">
        <w:rPr>
          <w:rFonts w:asciiTheme="majorBidi" w:hAnsiTheme="majorBidi" w:cstheme="majorBidi"/>
          <w:sz w:val="28"/>
          <w:szCs w:val="28"/>
          <w:lang w:bidi="ar-IQ"/>
        </w:rPr>
        <w:t>Abstract</w:t>
      </w:r>
    </w:p>
    <w:p w14:paraId="331ED54C" w14:textId="77777777" w:rsidR="002F4A41" w:rsidRPr="002F4A41" w:rsidRDefault="002F4A41" w:rsidP="002F4A41">
      <w:pPr>
        <w:bidi w:val="0"/>
        <w:jc w:val="both"/>
        <w:rPr>
          <w:rFonts w:asciiTheme="majorBidi" w:hAnsiTheme="majorBidi" w:cstheme="majorBidi"/>
          <w:sz w:val="28"/>
          <w:szCs w:val="28"/>
          <w:lang w:bidi="ar-IQ"/>
        </w:rPr>
      </w:pPr>
      <w:r w:rsidRPr="002F4A41">
        <w:rPr>
          <w:rFonts w:asciiTheme="majorBidi" w:hAnsiTheme="majorBidi" w:cstheme="majorBidi"/>
          <w:sz w:val="28"/>
          <w:szCs w:val="28"/>
          <w:lang w:bidi="ar-IQ"/>
        </w:rPr>
        <w:t xml:space="preserve">Art is an aesthetic message and a means of human communication with its surroundings, as it influences and is influenced by everything that surrounds it, as scientific and intellectual development has a great role in developing the means used in it with the multiplicity of options offered in terms of raw materials and techniques. Undoubtedly, the art of ceramics is one of the arts developed in terms of technology, indicating the development and sophistication of societies throughout history. It offers an aesthetic and utilitarian taste to the community. The color is one of the main elements in the process of adding an aesthetic touch to the surface of the ceramic piece, and this was evident in ceramics of all ages and times, and the implemented idea plays a role in showing an expressive and aesthetic vision in the ceramic surface and in order to keep pace with the rest of the plastic arts. Therefore, the potter always tries to innovate by experimenting with materials and techniques. Accordingly, the potter, especially the Arab potter, relied on coexistence with the modern intellectual dimensions of the era's culture, directing him to research, experimentation, modernization and acculturation from Western arts. This prompted research into Arab ceramics and the study of its ceramic products, especially the art of ceramics and the aesthetics of the raku technique, which is considered the Technique of most potters. The research is part of the methodological framework of the research, as it contains the research question, which concludes with the following question: What is the aesthetic of the raku technique in the works of potters </w:t>
      </w:r>
      <w:proofErr w:type="spellStart"/>
      <w:r w:rsidRPr="002F4A41">
        <w:rPr>
          <w:rFonts w:asciiTheme="majorBidi" w:hAnsiTheme="majorBidi" w:cstheme="majorBidi"/>
          <w:sz w:val="28"/>
          <w:szCs w:val="28"/>
          <w:lang w:bidi="ar-IQ"/>
        </w:rPr>
        <w:t>Shunyar</w:t>
      </w:r>
      <w:proofErr w:type="spellEnd"/>
      <w:r w:rsidRPr="002F4A41">
        <w:rPr>
          <w:rFonts w:asciiTheme="majorBidi" w:hAnsiTheme="majorBidi" w:cstheme="majorBidi"/>
          <w:sz w:val="28"/>
          <w:szCs w:val="28"/>
          <w:lang w:bidi="ar-IQ"/>
        </w:rPr>
        <w:t xml:space="preserve"> Abdullah and Yaqoub Al-</w:t>
      </w:r>
      <w:proofErr w:type="spellStart"/>
      <w:r w:rsidRPr="002F4A41">
        <w:rPr>
          <w:rFonts w:asciiTheme="majorBidi" w:hAnsiTheme="majorBidi" w:cstheme="majorBidi"/>
          <w:sz w:val="28"/>
          <w:szCs w:val="28"/>
          <w:lang w:bidi="ar-IQ"/>
        </w:rPr>
        <w:t>Atoum</w:t>
      </w:r>
      <w:proofErr w:type="spellEnd"/>
      <w:r w:rsidRPr="002F4A41">
        <w:rPr>
          <w:rFonts w:asciiTheme="majorBidi" w:hAnsiTheme="majorBidi" w:cstheme="majorBidi"/>
          <w:sz w:val="28"/>
          <w:szCs w:val="28"/>
          <w:lang w:bidi="ar-IQ"/>
        </w:rPr>
        <w:t xml:space="preserve">, then the importance of the research, which lies in highlighting the aesthetic effects of the raku technique by identifying the features and characteristics of this Technique reflected in the formal structure of Arab ceramic work and identifying the different reduction processes in this Technique and its impact on the artistic works of potters </w:t>
      </w:r>
      <w:proofErr w:type="spellStart"/>
      <w:r w:rsidRPr="002F4A41">
        <w:rPr>
          <w:rFonts w:asciiTheme="majorBidi" w:hAnsiTheme="majorBidi" w:cstheme="majorBidi"/>
          <w:sz w:val="28"/>
          <w:szCs w:val="28"/>
          <w:lang w:bidi="ar-IQ"/>
        </w:rPr>
        <w:t>Shunyar</w:t>
      </w:r>
      <w:proofErr w:type="spellEnd"/>
      <w:r w:rsidRPr="002F4A41">
        <w:rPr>
          <w:rFonts w:asciiTheme="majorBidi" w:hAnsiTheme="majorBidi" w:cstheme="majorBidi"/>
          <w:sz w:val="28"/>
          <w:szCs w:val="28"/>
          <w:lang w:bidi="ar-IQ"/>
        </w:rPr>
        <w:t xml:space="preserve"> Abdullah and Yaqoub Al-</w:t>
      </w:r>
      <w:proofErr w:type="spellStart"/>
      <w:r w:rsidRPr="002F4A41">
        <w:rPr>
          <w:rFonts w:asciiTheme="majorBidi" w:hAnsiTheme="majorBidi" w:cstheme="majorBidi"/>
          <w:sz w:val="28"/>
          <w:szCs w:val="28"/>
          <w:lang w:bidi="ar-IQ"/>
        </w:rPr>
        <w:t>Atoum</w:t>
      </w:r>
      <w:proofErr w:type="spellEnd"/>
      <w:r w:rsidRPr="002F4A41">
        <w:rPr>
          <w:rFonts w:asciiTheme="majorBidi" w:hAnsiTheme="majorBidi" w:cstheme="majorBidi"/>
          <w:sz w:val="28"/>
          <w:szCs w:val="28"/>
          <w:lang w:bidi="ar-IQ"/>
        </w:rPr>
        <w:t xml:space="preserve">, to benefit researchers and specialists and enrich scientific libraries and students in the field of ceramics. After that, the aim of the research was discussed: The objective of the research was to identify the raku technique in the works of potters Shinyar </w:t>
      </w:r>
      <w:r w:rsidRPr="002F4A41">
        <w:rPr>
          <w:rFonts w:asciiTheme="majorBidi" w:hAnsiTheme="majorBidi" w:cstheme="majorBidi"/>
          <w:sz w:val="28"/>
          <w:szCs w:val="28"/>
          <w:lang w:bidi="ar-IQ"/>
        </w:rPr>
        <w:lastRenderedPageBreak/>
        <w:t>Abdullah and Yaqoub Al-</w:t>
      </w:r>
      <w:proofErr w:type="spellStart"/>
      <w:r w:rsidRPr="002F4A41">
        <w:rPr>
          <w:rFonts w:asciiTheme="majorBidi" w:hAnsiTheme="majorBidi" w:cstheme="majorBidi"/>
          <w:sz w:val="28"/>
          <w:szCs w:val="28"/>
          <w:lang w:bidi="ar-IQ"/>
        </w:rPr>
        <w:t>Atoum</w:t>
      </w:r>
      <w:proofErr w:type="spellEnd"/>
      <w:r w:rsidRPr="002F4A41">
        <w:rPr>
          <w:rFonts w:asciiTheme="majorBidi" w:hAnsiTheme="majorBidi" w:cstheme="majorBidi"/>
          <w:sz w:val="28"/>
          <w:szCs w:val="28"/>
          <w:lang w:bidi="ar-IQ"/>
        </w:rPr>
        <w:t>, and then the limits of the research were reached in terms of the objective limits, which were determined by the aesthetic of the raku technique in the works of potters Shinyar Abdullah and Yaqoub Al-</w:t>
      </w:r>
      <w:proofErr w:type="spellStart"/>
      <w:r w:rsidRPr="002F4A41">
        <w:rPr>
          <w:rFonts w:asciiTheme="majorBidi" w:hAnsiTheme="majorBidi" w:cstheme="majorBidi"/>
          <w:sz w:val="28"/>
          <w:szCs w:val="28"/>
          <w:lang w:bidi="ar-IQ"/>
        </w:rPr>
        <w:t>Atoum</w:t>
      </w:r>
      <w:proofErr w:type="spellEnd"/>
      <w:r w:rsidRPr="002F4A41">
        <w:rPr>
          <w:rFonts w:asciiTheme="majorBidi" w:hAnsiTheme="majorBidi" w:cstheme="majorBidi"/>
          <w:sz w:val="28"/>
          <w:szCs w:val="28"/>
          <w:lang w:bidi="ar-IQ"/>
        </w:rPr>
        <w:t xml:space="preserve"> and the temporal limits, which were represented by the period between (2012-2021), the spatial limits (Iraq and Jordan) and the human limits of the potters Shinyar Abdullah and Yaqoub </w:t>
      </w:r>
      <w:proofErr w:type="spellStart"/>
      <w:r w:rsidRPr="002F4A41">
        <w:rPr>
          <w:rFonts w:asciiTheme="majorBidi" w:hAnsiTheme="majorBidi" w:cstheme="majorBidi"/>
          <w:sz w:val="28"/>
          <w:szCs w:val="28"/>
          <w:lang w:bidi="ar-IQ"/>
        </w:rPr>
        <w:t>Atoum</w:t>
      </w:r>
      <w:proofErr w:type="spellEnd"/>
      <w:r w:rsidRPr="002F4A41">
        <w:rPr>
          <w:rFonts w:asciiTheme="majorBidi" w:hAnsiTheme="majorBidi" w:cstheme="majorBidi"/>
          <w:sz w:val="28"/>
          <w:szCs w:val="28"/>
          <w:lang w:bidi="ar-IQ"/>
        </w:rPr>
        <w:t>, and the chapter ends with the definition of the most important terms.</w:t>
      </w:r>
    </w:p>
    <w:p w14:paraId="40E9807A" w14:textId="77777777" w:rsidR="002F4A41" w:rsidRPr="002F4A41" w:rsidRDefault="002F4A41" w:rsidP="002F4A41">
      <w:pPr>
        <w:bidi w:val="0"/>
        <w:jc w:val="both"/>
        <w:rPr>
          <w:rFonts w:asciiTheme="majorBidi" w:hAnsiTheme="majorBidi" w:cstheme="majorBidi"/>
          <w:sz w:val="28"/>
          <w:szCs w:val="28"/>
          <w:lang w:bidi="ar-IQ"/>
        </w:rPr>
      </w:pPr>
      <w:r w:rsidRPr="002F4A41">
        <w:rPr>
          <w:rFonts w:asciiTheme="majorBidi" w:hAnsiTheme="majorBidi" w:cstheme="majorBidi"/>
          <w:sz w:val="28"/>
          <w:szCs w:val="28"/>
          <w:lang w:bidi="ar-IQ"/>
        </w:rPr>
        <w:t>How to Cite</w:t>
      </w:r>
    </w:p>
    <w:p w14:paraId="06C919B2" w14:textId="58F2A72E" w:rsidR="002F4A41" w:rsidRPr="002F4A41" w:rsidRDefault="002F4A41" w:rsidP="002F4A41">
      <w:pPr>
        <w:bidi w:val="0"/>
        <w:jc w:val="both"/>
        <w:rPr>
          <w:rFonts w:asciiTheme="majorBidi" w:hAnsiTheme="majorBidi" w:cstheme="majorBidi"/>
          <w:sz w:val="28"/>
          <w:szCs w:val="28"/>
          <w:lang w:bidi="ar-IQ"/>
        </w:rPr>
      </w:pPr>
      <w:r w:rsidRPr="002F4A41">
        <w:rPr>
          <w:rFonts w:asciiTheme="majorBidi" w:hAnsiTheme="majorBidi" w:cstheme="majorBidi"/>
          <w:sz w:val="28"/>
          <w:szCs w:val="28"/>
          <w:lang w:bidi="ar-IQ"/>
        </w:rPr>
        <w:t xml:space="preserve">Manar Munir Mohamed, &amp; Dr. Rula Abdul-Ilah Alwan Al-Nuaimi. (2024). The Beauty of the Raku technique in the Works of Potters </w:t>
      </w:r>
      <w:proofErr w:type="spellStart"/>
      <w:r w:rsidRPr="002F4A41">
        <w:rPr>
          <w:rFonts w:asciiTheme="majorBidi" w:hAnsiTheme="majorBidi" w:cstheme="majorBidi"/>
          <w:sz w:val="28"/>
          <w:szCs w:val="28"/>
          <w:lang w:bidi="ar-IQ"/>
        </w:rPr>
        <w:t>Shenyar</w:t>
      </w:r>
      <w:proofErr w:type="spellEnd"/>
      <w:r w:rsidRPr="002F4A41">
        <w:rPr>
          <w:rFonts w:asciiTheme="majorBidi" w:hAnsiTheme="majorBidi" w:cstheme="majorBidi"/>
          <w:sz w:val="28"/>
          <w:szCs w:val="28"/>
          <w:lang w:bidi="ar-IQ"/>
        </w:rPr>
        <w:t xml:space="preserve"> Abdullah and Yaqoub Al-</w:t>
      </w:r>
      <w:proofErr w:type="spellStart"/>
      <w:proofErr w:type="gramStart"/>
      <w:r w:rsidRPr="002F4A41">
        <w:rPr>
          <w:rFonts w:asciiTheme="majorBidi" w:hAnsiTheme="majorBidi" w:cstheme="majorBidi"/>
          <w:sz w:val="28"/>
          <w:szCs w:val="28"/>
          <w:lang w:bidi="ar-IQ"/>
        </w:rPr>
        <w:t>Atoum</w:t>
      </w:r>
      <w:proofErr w:type="spellEnd"/>
      <w:r w:rsidRPr="002F4A41">
        <w:rPr>
          <w:rFonts w:asciiTheme="majorBidi" w:hAnsiTheme="majorBidi" w:cstheme="majorBidi"/>
          <w:sz w:val="28"/>
          <w:szCs w:val="28"/>
          <w:lang w:bidi="ar-IQ"/>
        </w:rPr>
        <w:t xml:space="preserve"> .</w:t>
      </w:r>
      <w:proofErr w:type="gramEnd"/>
      <w:r w:rsidRPr="002F4A41">
        <w:rPr>
          <w:rFonts w:asciiTheme="majorBidi" w:hAnsiTheme="majorBidi" w:cstheme="majorBidi"/>
          <w:sz w:val="28"/>
          <w:szCs w:val="28"/>
          <w:lang w:bidi="ar-IQ"/>
        </w:rPr>
        <w:t xml:space="preserve"> EVOLUTIONARY STUDIES IN IMAGINATIVE CULTURE, 1744–1764. https://doi.org/10.70082/esiculture.vi.1579</w:t>
      </w:r>
    </w:p>
    <w:sectPr w:rsidR="002F4A41" w:rsidRPr="002F4A41" w:rsidSect="00D40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41"/>
    <w:rsid w:val="002F4A41"/>
    <w:rsid w:val="008F3132"/>
    <w:rsid w:val="00C45E64"/>
    <w:rsid w:val="00D40B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C86D"/>
  <w15:chartTrackingRefBased/>
  <w15:docId w15:val="{5E9C46D4-6F8B-4B41-99EC-00F0F11B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F4A41"/>
    <w:rPr>
      <w:color w:val="0563C1" w:themeColor="hyperlink"/>
      <w:u w:val="single"/>
    </w:rPr>
  </w:style>
  <w:style w:type="character" w:styleId="a3">
    <w:name w:val="Unresolved Mention"/>
    <w:basedOn w:val="a0"/>
    <w:uiPriority w:val="99"/>
    <w:semiHidden/>
    <w:unhideWhenUsed/>
    <w:rsid w:val="002F4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2026-01-09T16:47:00Z</dcterms:created>
  <dcterms:modified xsi:type="dcterms:W3CDTF">2026-01-09T16:48:00Z</dcterms:modified>
</cp:coreProperties>
</file>