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6C" w:rsidRPr="008E0C20" w:rsidRDefault="00D22489" w:rsidP="00D2248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</w:t>
      </w:r>
      <w:r w:rsidR="00DC718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661232" w:rsidRPr="008E0C2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Barramundi fish, </w:t>
      </w:r>
      <w:proofErr w:type="spellStart"/>
      <w:r w:rsidR="00661232" w:rsidRPr="008E0C2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Lates</w:t>
      </w:r>
      <w:proofErr w:type="spellEnd"/>
      <w:r w:rsidR="00661232" w:rsidRPr="008E0C20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calcarifer</w:t>
      </w:r>
      <w:r w:rsidR="00661232" w:rsidRPr="008E0C2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(Bloch, 1790) in </w:t>
      </w:r>
      <w:r w:rsidR="008E0C20">
        <w:rPr>
          <w:rFonts w:asciiTheme="majorBidi" w:hAnsiTheme="majorBidi" w:cstheme="majorBidi"/>
          <w:b/>
          <w:bCs/>
          <w:sz w:val="32"/>
          <w:szCs w:val="32"/>
          <w:lang w:bidi="ar-IQ"/>
        </w:rPr>
        <w:t>the Shatt Al</w:t>
      </w:r>
      <w:r w:rsidR="00661232" w:rsidRPr="008E0C20">
        <w:rPr>
          <w:rFonts w:asciiTheme="majorBidi" w:hAnsiTheme="majorBidi" w:cstheme="majorBidi"/>
          <w:b/>
          <w:bCs/>
          <w:sz w:val="32"/>
          <w:szCs w:val="32"/>
          <w:lang w:bidi="ar-IQ"/>
        </w:rPr>
        <w:t>-Arab river, southern Iraq</w:t>
      </w:r>
    </w:p>
    <w:p w:rsidR="008E0C20" w:rsidRDefault="008E0C20" w:rsidP="008E0C20">
      <w:pPr>
        <w:bidi w:val="0"/>
        <w:rPr>
          <w:lang w:bidi="ar-IQ"/>
        </w:rPr>
      </w:pPr>
    </w:p>
    <w:p w:rsidR="008E0C20" w:rsidRDefault="008E0C20" w:rsidP="00D75A6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5BAB">
        <w:rPr>
          <w:rFonts w:asciiTheme="majorBidi" w:hAnsiTheme="majorBidi" w:cstheme="majorBidi"/>
          <w:b/>
          <w:bCs/>
          <w:sz w:val="28"/>
          <w:szCs w:val="28"/>
        </w:rPr>
        <w:t>Abbas J. Al-Faisal</w:t>
      </w:r>
      <w:r>
        <w:rPr>
          <w:rFonts w:asciiTheme="majorBidi" w:hAnsiTheme="majorBidi" w:cstheme="majorBidi"/>
          <w:b/>
          <w:bCs/>
          <w:sz w:val="28"/>
          <w:szCs w:val="28"/>
        </w:rPr>
        <w:t>, Ali T</w:t>
      </w:r>
      <w:r w:rsidR="00D75A66">
        <w:rPr>
          <w:rFonts w:asciiTheme="majorBidi" w:hAnsiTheme="majorBidi" w:cstheme="majorBidi"/>
          <w:b/>
          <w:bCs/>
          <w:sz w:val="28"/>
          <w:szCs w:val="28"/>
        </w:rPr>
        <w:t>. Yaseen</w:t>
      </w:r>
      <w:r w:rsidRPr="00FC5BAB">
        <w:rPr>
          <w:rFonts w:asciiTheme="majorBidi" w:hAnsiTheme="majorBidi" w:cstheme="majorBidi"/>
          <w:b/>
          <w:bCs/>
          <w:sz w:val="28"/>
          <w:szCs w:val="28"/>
        </w:rPr>
        <w:t xml:space="preserve"> and Falah M. Mutlak</w:t>
      </w:r>
    </w:p>
    <w:p w:rsidR="008E0C20" w:rsidRPr="00FC5BAB" w:rsidRDefault="008E0C20" w:rsidP="008E0C2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E0C20" w:rsidRPr="004962FB" w:rsidRDefault="008E0C20" w:rsidP="008E0C2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962FB">
        <w:rPr>
          <w:rFonts w:asciiTheme="majorBidi" w:hAnsiTheme="majorBidi" w:cstheme="majorBidi"/>
          <w:sz w:val="24"/>
          <w:szCs w:val="24"/>
        </w:rPr>
        <w:t>Marine Science Centre, University of Basrah, Basrah, Iraq</w:t>
      </w:r>
    </w:p>
    <w:p w:rsidR="008E0C20" w:rsidRDefault="008E0C20" w:rsidP="008E0C20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4962FB">
        <w:rPr>
          <w:rFonts w:asciiTheme="majorBidi" w:hAnsiTheme="majorBidi" w:cstheme="majorBidi"/>
          <w:sz w:val="24"/>
          <w:szCs w:val="24"/>
        </w:rPr>
        <w:t>e-mail: abbasjsm71@yahoo.com</w:t>
      </w:r>
    </w:p>
    <w:p w:rsidR="008E0C20" w:rsidRDefault="008E0C20" w:rsidP="008E0C20">
      <w:pPr>
        <w:bidi w:val="0"/>
        <w:jc w:val="center"/>
        <w:rPr>
          <w:lang w:bidi="ar-IQ"/>
        </w:rPr>
      </w:pPr>
    </w:p>
    <w:p w:rsidR="00047243" w:rsidRPr="00047243" w:rsidRDefault="00047243" w:rsidP="000472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47243" w:rsidRDefault="00047243" w:rsidP="000472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025A5" w:rsidRPr="001950A5" w:rsidRDefault="008025A5" w:rsidP="008025A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50A5">
        <w:rPr>
          <w:rFonts w:asciiTheme="majorBidi" w:hAnsiTheme="majorBidi" w:cstheme="majorBidi"/>
          <w:b/>
          <w:bCs/>
          <w:sz w:val="28"/>
          <w:szCs w:val="28"/>
          <w:lang w:bidi="ar-IQ"/>
        </w:rPr>
        <w:t>Materials and Methods</w:t>
      </w:r>
    </w:p>
    <w:p w:rsidR="008025A5" w:rsidRDefault="008025A5" w:rsidP="00004E2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D371F">
        <w:rPr>
          <w:rFonts w:asciiTheme="majorBidi" w:hAnsiTheme="majorBidi" w:cstheme="majorBidi"/>
          <w:sz w:val="28"/>
          <w:szCs w:val="28"/>
          <w:lang w:bidi="ar-IQ"/>
        </w:rPr>
        <w:t xml:space="preserve">      Six specimens of Barramundi fish were collected by gill net, from Shatt Al-Arab River in Abu Al-Khasib town in Basrah City, Southern Iraq (Fig. 1) during December  2019.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 xml:space="preserve"> The morphological characteristics included </w:t>
      </w:r>
      <w:r w:rsidR="00004E2E" w:rsidRPr="00004E2E">
        <w:rPr>
          <w:rFonts w:ascii="Times New Roman" w:hAnsi="Times New Roman" w:cs="Times New Roman"/>
          <w:sz w:val="28"/>
          <w:szCs w:val="28"/>
          <w:lang w:bidi="ar-IQ"/>
        </w:rPr>
        <w:t>eight</w:t>
      </w:r>
      <w:r w:rsidRPr="00004E2E">
        <w:rPr>
          <w:rFonts w:ascii="Times New Roman" w:hAnsi="Times New Roman" w:cs="Times New Roman"/>
          <w:sz w:val="28"/>
          <w:szCs w:val="28"/>
          <w:lang w:bidi="ar-IQ"/>
        </w:rPr>
        <w:t xml:space="preserve"> meristic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 xml:space="preserve"> characters (Lateral Line scales,</w:t>
      </w:r>
      <w:r w:rsidRPr="00BD371F">
        <w:rPr>
          <w:sz w:val="28"/>
          <w:szCs w:val="28"/>
        </w:rPr>
        <w:t xml:space="preserve"> 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>scales above the lateral line,</w:t>
      </w:r>
      <w:r w:rsidRPr="00BD371F">
        <w:rPr>
          <w:sz w:val="28"/>
          <w:szCs w:val="28"/>
        </w:rPr>
        <w:t xml:space="preserve"> 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>scales below the lateral line,</w:t>
      </w:r>
      <w:r w:rsidR="00004E2E" w:rsidRPr="00004E2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04E2E" w:rsidRPr="00BD371F">
        <w:rPr>
          <w:rFonts w:ascii="Times New Roman" w:hAnsi="Times New Roman" w:cs="Times New Roman"/>
          <w:sz w:val="28"/>
          <w:szCs w:val="28"/>
          <w:lang w:bidi="ar-IQ"/>
        </w:rPr>
        <w:t>gill rakers</w:t>
      </w:r>
      <w:r w:rsidR="00004E2E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04E2E" w:rsidRPr="00004E2E">
        <w:rPr>
          <w:rFonts w:ascii="Times New Roman" w:hAnsi="Times New Roman" w:cs="Times New Roman"/>
          <w:sz w:val="28"/>
          <w:szCs w:val="28"/>
          <w:lang w:bidi="ar-IQ"/>
        </w:rPr>
        <w:t>spines</w:t>
      </w:r>
      <w:r w:rsidR="00004E2E">
        <w:rPr>
          <w:rFonts w:ascii="Times New Roman" w:hAnsi="Times New Roman" w:cs="Times New Roman"/>
          <w:sz w:val="28"/>
          <w:szCs w:val="28"/>
          <w:lang w:bidi="ar-IQ"/>
        </w:rPr>
        <w:t xml:space="preserve"> and rays of</w:t>
      </w:r>
      <w:r w:rsidR="00004E2E" w:rsidRPr="00004E2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>dorsal fin, anal fin, pectoral fin</w:t>
      </w:r>
      <w:r w:rsidR="00004E2E">
        <w:rPr>
          <w:rFonts w:ascii="Times New Roman" w:hAnsi="Times New Roman" w:cs="Times New Roman"/>
          <w:sz w:val="28"/>
          <w:szCs w:val="28"/>
          <w:lang w:bidi="ar-IQ"/>
        </w:rPr>
        <w:t xml:space="preserve"> and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 xml:space="preserve"> pelvic fin) which counted employing dissection microscope, and 19 morphometric characters were measured to the nearest mm by using digital caliper and fish measuring board following Hubbs and Lagler (1958).</w:t>
      </w:r>
      <w:r w:rsidRPr="00BD371F">
        <w:rPr>
          <w:sz w:val="28"/>
          <w:szCs w:val="28"/>
        </w:rPr>
        <w:t xml:space="preserve"> </w:t>
      </w:r>
      <w:r w:rsidRPr="00BD371F">
        <w:rPr>
          <w:rFonts w:ascii="Times New Roman" w:hAnsi="Times New Roman" w:cs="Times New Roman"/>
          <w:sz w:val="28"/>
          <w:szCs w:val="28"/>
          <w:lang w:bidi="ar-IQ"/>
        </w:rPr>
        <w:t>All morphometric measurements were percentage of standard length.</w:t>
      </w:r>
      <w:r w:rsidRPr="00BD371F">
        <w:rPr>
          <w:sz w:val="28"/>
          <w:szCs w:val="28"/>
        </w:rPr>
        <w:t xml:space="preserve"> </w:t>
      </w:r>
      <w:r w:rsidRPr="00BD371F">
        <w:rPr>
          <w:rFonts w:asciiTheme="majorBidi" w:hAnsiTheme="majorBidi" w:cstheme="majorBidi"/>
          <w:sz w:val="28"/>
          <w:szCs w:val="28"/>
          <w:lang w:bidi="ar-IQ"/>
        </w:rPr>
        <w:t>The specimens are deposited in the department of Marine Vertebrates, Marine Science Centre, Iraq.</w:t>
      </w:r>
    </w:p>
    <w:p w:rsidR="0045376C" w:rsidRDefault="0045376C" w:rsidP="0045376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5376C" w:rsidRPr="00D039A7" w:rsidRDefault="0045376C" w:rsidP="0045376C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1BDBBAC0" wp14:editId="5798071B">
            <wp:extent cx="4482740" cy="336232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341" cy="33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6C" w:rsidRPr="001A7D82" w:rsidRDefault="0045376C" w:rsidP="0045376C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1A7D82">
        <w:rPr>
          <w:rFonts w:asciiTheme="majorBidi" w:hAnsiTheme="majorBidi" w:cstheme="majorBidi"/>
          <w:sz w:val="24"/>
          <w:szCs w:val="24"/>
          <w:lang w:bidi="ar-IQ"/>
        </w:rPr>
        <w:t>Figure 1. Sampling station in the Shatt Al-Arab River, South of Iraq.</w:t>
      </w:r>
    </w:p>
    <w:p w:rsidR="0045376C" w:rsidRPr="00BD371F" w:rsidRDefault="0045376C" w:rsidP="0045376C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E6311" w:rsidRDefault="008E6311" w:rsidP="008E63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E0C20" w:rsidRDefault="008E0C20" w:rsidP="008E0C20">
      <w:pPr>
        <w:tabs>
          <w:tab w:val="left" w:pos="2020"/>
          <w:tab w:val="center" w:pos="4153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0465">
        <w:rPr>
          <w:rFonts w:asciiTheme="majorBidi" w:hAnsiTheme="majorBidi" w:cstheme="majorBidi"/>
          <w:b/>
          <w:bCs/>
          <w:sz w:val="28"/>
          <w:szCs w:val="28"/>
          <w:lang w:bidi="ar-IQ"/>
        </w:rPr>
        <w:t>Results</w:t>
      </w:r>
    </w:p>
    <w:p w:rsidR="008E6311" w:rsidRPr="00DE23CE" w:rsidRDefault="008E6311" w:rsidP="008E0C20">
      <w:pPr>
        <w:tabs>
          <w:tab w:val="left" w:pos="2020"/>
          <w:tab w:val="center" w:pos="4153"/>
        </w:tabs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E23CE">
        <w:rPr>
          <w:rFonts w:asciiTheme="majorBidi" w:hAnsiTheme="majorBidi" w:cstheme="majorBidi"/>
          <w:b/>
          <w:bCs/>
          <w:sz w:val="24"/>
          <w:szCs w:val="24"/>
          <w:lang w:bidi="ar-IQ"/>
        </w:rPr>
        <w:t>Classification:</w:t>
      </w:r>
    </w:p>
    <w:p w:rsidR="008E6311" w:rsidRPr="002A582E" w:rsidRDefault="008E6311" w:rsidP="008E63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582E">
        <w:rPr>
          <w:rFonts w:ascii="Times New Roman" w:eastAsia="Times New Roman" w:hAnsi="Times New Roman" w:cs="Times New Roman"/>
          <w:sz w:val="24"/>
          <w:szCs w:val="24"/>
        </w:rPr>
        <w:t>Class: Actinopterygii</w:t>
      </w:r>
    </w:p>
    <w:p w:rsidR="008E6311" w:rsidRPr="002A582E" w:rsidRDefault="008E6311" w:rsidP="008E6311">
      <w:pPr>
        <w:bidi w:val="0"/>
        <w:spacing w:after="0" w:line="240" w:lineRule="auto"/>
        <w:ind w:left="284"/>
        <w:jc w:val="lowKashida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2A582E">
        <w:rPr>
          <w:rFonts w:ascii="Times New Roman" w:eastAsia="Calibri" w:hAnsi="Times New Roman" w:cs="Times New Roman"/>
          <w:sz w:val="24"/>
          <w:szCs w:val="24"/>
          <w:lang w:bidi="ar-IQ"/>
        </w:rPr>
        <w:t>Order: Perciformes</w:t>
      </w:r>
    </w:p>
    <w:p w:rsidR="008E6311" w:rsidRPr="002A582E" w:rsidRDefault="008E6311" w:rsidP="008E6311">
      <w:pPr>
        <w:bidi w:val="0"/>
        <w:spacing w:after="0" w:line="240" w:lineRule="auto"/>
        <w:ind w:firstLine="567"/>
        <w:jc w:val="lowKashida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A582E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Family: </w:t>
      </w:r>
      <w:r w:rsidRPr="008E6311">
        <w:rPr>
          <w:rFonts w:ascii="Times New Roman" w:eastAsia="Times New Roman" w:hAnsi="Times New Roman" w:cs="Times New Roman"/>
          <w:sz w:val="24"/>
          <w:szCs w:val="24"/>
          <w:lang w:bidi="ar-IQ"/>
        </w:rPr>
        <w:t>Latidae</w:t>
      </w:r>
    </w:p>
    <w:p w:rsidR="008E6311" w:rsidRPr="002A582E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2A582E">
        <w:rPr>
          <w:rFonts w:ascii="Times New Roman" w:eastAsia="Calibri" w:hAnsi="Times New Roman" w:cs="Times New Roman"/>
          <w:sz w:val="24"/>
          <w:szCs w:val="24"/>
        </w:rPr>
        <w:t xml:space="preserve">             Genus: </w:t>
      </w:r>
      <w:r w:rsidRPr="008E6311">
        <w:rPr>
          <w:rFonts w:ascii="Times New Roman" w:eastAsia="Calibri" w:hAnsi="Times New Roman" w:cs="Times New Roman"/>
          <w:sz w:val="24"/>
          <w:szCs w:val="24"/>
        </w:rPr>
        <w:t>Lates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311">
        <w:rPr>
          <w:rFonts w:ascii="Times New Roman" w:eastAsia="Calibri" w:hAnsi="Times New Roman" w:cs="Times New Roman"/>
          <w:sz w:val="24"/>
          <w:szCs w:val="24"/>
        </w:rPr>
        <w:t>Cuvier, 1828</w:t>
      </w:r>
    </w:p>
    <w:p w:rsidR="008E6311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2A582E">
        <w:rPr>
          <w:rFonts w:ascii="Times New Roman" w:eastAsia="Calibri" w:hAnsi="Times New Roman" w:cs="Times New Roman"/>
          <w:sz w:val="24"/>
          <w:szCs w:val="24"/>
        </w:rPr>
        <w:t xml:space="preserve">                      Species: </w:t>
      </w:r>
      <w:r w:rsidRPr="008E63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Lates calcarifer </w:t>
      </w:r>
      <w:r w:rsidRPr="008E6311">
        <w:rPr>
          <w:rFonts w:ascii="Times New Roman" w:eastAsia="Calibri" w:hAnsi="Times New Roman" w:cs="Times New Roman"/>
          <w:sz w:val="24"/>
          <w:szCs w:val="24"/>
        </w:rPr>
        <w:t>(Bloch, 1790)</w:t>
      </w:r>
    </w:p>
    <w:p w:rsidR="008E6311" w:rsidRPr="002A582E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A582E">
        <w:rPr>
          <w:rFonts w:ascii="Times New Roman" w:eastAsia="Calibri" w:hAnsi="Times New Roman" w:cs="Times New Roman"/>
          <w:sz w:val="24"/>
          <w:szCs w:val="24"/>
        </w:rPr>
        <w:t xml:space="preserve">Synonym: </w:t>
      </w:r>
      <w:r w:rsidRPr="008E6311">
        <w:rPr>
          <w:rFonts w:ascii="Times New Roman" w:eastAsia="Calibri" w:hAnsi="Times New Roman" w:cs="Times New Roman"/>
          <w:i/>
          <w:iCs/>
          <w:sz w:val="24"/>
          <w:szCs w:val="24"/>
        </w:rPr>
        <w:t>Holocentrus calcarifer</w:t>
      </w:r>
      <w:r w:rsidRPr="008E6311">
        <w:t xml:space="preserve"> </w:t>
      </w:r>
      <w:r w:rsidRPr="008E6311">
        <w:rPr>
          <w:rFonts w:ascii="Times New Roman" w:eastAsia="Calibri" w:hAnsi="Times New Roman" w:cs="Times New Roman"/>
          <w:sz w:val="24"/>
          <w:szCs w:val="24"/>
        </w:rPr>
        <w:t>Bloch, 1790</w:t>
      </w:r>
    </w:p>
    <w:p w:rsidR="008E6311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2A5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31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Pseudolates cavifrons </w:t>
      </w:r>
      <w:r w:rsidRPr="008E6311">
        <w:rPr>
          <w:rFonts w:ascii="Times New Roman" w:eastAsia="Calibri" w:hAnsi="Times New Roman" w:cs="Times New Roman"/>
          <w:sz w:val="24"/>
          <w:szCs w:val="24"/>
        </w:rPr>
        <w:t>Alleyne &amp; Macleay, 1877</w:t>
      </w:r>
    </w:p>
    <w:p w:rsidR="008E6311" w:rsidRPr="002A582E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8E6311">
        <w:rPr>
          <w:rFonts w:ascii="Times New Roman" w:eastAsia="Calibri" w:hAnsi="Times New Roman" w:cs="Times New Roman"/>
          <w:i/>
          <w:iCs/>
          <w:sz w:val="24"/>
          <w:szCs w:val="24"/>
        </w:rPr>
        <w:t>Lates darwiniensis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311">
        <w:rPr>
          <w:rFonts w:ascii="Times New Roman" w:eastAsia="Calibri" w:hAnsi="Times New Roman" w:cs="Times New Roman"/>
          <w:sz w:val="24"/>
          <w:szCs w:val="24"/>
        </w:rPr>
        <w:t>Macleay, 1878</w:t>
      </w:r>
    </w:p>
    <w:p w:rsidR="008E6311" w:rsidRPr="002A582E" w:rsidRDefault="008E6311" w:rsidP="008E6311">
      <w:pPr>
        <w:bidi w:val="0"/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</w:rPr>
      </w:pPr>
    </w:p>
    <w:p w:rsidR="00DE23CE" w:rsidRDefault="00DE23CE" w:rsidP="00DE23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23CE" w:rsidRPr="00BD371F" w:rsidRDefault="00DE23CE" w:rsidP="00DE23C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BD371F">
        <w:rPr>
          <w:rFonts w:ascii="Times New Roman" w:hAnsi="Times New Roman" w:cs="Times New Roman"/>
          <w:b/>
          <w:bCs/>
          <w:sz w:val="28"/>
          <w:szCs w:val="28"/>
        </w:rPr>
        <w:t>Morphological description</w:t>
      </w:r>
    </w:p>
    <w:p w:rsidR="004C16D2" w:rsidRDefault="00021F3D" w:rsidP="00021F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>Total length of the specimen</w:t>
      </w:r>
      <w:r w:rsidR="00CE5E14" w:rsidRPr="00021F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E14" w:rsidRPr="00021F3D">
        <w:rPr>
          <w:rFonts w:ascii="Times New Roman" w:eastAsia="Times New Roman" w:hAnsi="Times New Roman" w:cs="Times New Roman"/>
          <w:sz w:val="28"/>
          <w:szCs w:val="28"/>
        </w:rPr>
        <w:t>ranged from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282 to 345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 xml:space="preserve"> mm, standard length 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ranged from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230 to 285</w:t>
      </w:r>
      <w:r w:rsidR="00057800" w:rsidRPr="00021F3D">
        <w:rPr>
          <w:rFonts w:ascii="Times New Roman" w:eastAsia="Times New Roman" w:hAnsi="Times New Roman" w:cs="Times New Roman"/>
          <w:sz w:val="28"/>
          <w:szCs w:val="28"/>
        </w:rPr>
        <w:t xml:space="preserve"> mm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 xml:space="preserve"> (table, 1). 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>Body elongate,</w:t>
      </w:r>
      <w:r w:rsidR="004C16D2" w:rsidRPr="00021F3D">
        <w:rPr>
          <w:sz w:val="28"/>
          <w:szCs w:val="28"/>
        </w:rPr>
        <w:t xml:space="preserve"> 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its depth ranged from 29.73 to 32.63% in standard length,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 xml:space="preserve"> compressed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 xml:space="preserve"> 14.66 - 16.87%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>, with a deep caudal peduncle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 xml:space="preserve"> 11.71 - 12.36%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>. Head pointed, with concave dorsal profile becoming convex in front of dorsal fin. Mouth large, slightly oblique, upper jaw reaching to behind eye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 xml:space="preserve"> teeth villiform,  no canines present. Lower edge of preoperculum with a strong spine</w:t>
      </w:r>
      <w:r w:rsidR="004C16D2" w:rsidRPr="00021F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3CE" w:rsidRPr="00021F3D">
        <w:rPr>
          <w:rFonts w:ascii="Times New Roman" w:eastAsia="Times New Roman" w:hAnsi="Times New Roman" w:cs="Times New Roman"/>
          <w:sz w:val="28"/>
          <w:szCs w:val="28"/>
        </w:rPr>
        <w:lastRenderedPageBreak/>
        <w:t>operculum with a small spine and with a serrated flap above origin of lateral line.</w:t>
      </w:r>
      <w:r w:rsidRPr="0002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45" w:rsidRPr="00021F3D">
        <w:rPr>
          <w:rFonts w:ascii="Times New Roman" w:eastAsia="Times New Roman" w:hAnsi="Times New Roman" w:cs="Times New Roman"/>
          <w:sz w:val="28"/>
          <w:szCs w:val="28"/>
        </w:rPr>
        <w:t>Lateral line contains 56 – 64 scales.</w:t>
      </w:r>
      <w:r w:rsidR="00013445" w:rsidRPr="00021F3D">
        <w:rPr>
          <w:sz w:val="28"/>
          <w:szCs w:val="28"/>
        </w:rPr>
        <w:t xml:space="preserve"> </w:t>
      </w:r>
      <w:r w:rsidR="00013445" w:rsidRPr="00021F3D">
        <w:rPr>
          <w:rFonts w:ascii="Times New Roman" w:eastAsia="Times New Roman" w:hAnsi="Times New Roman" w:cs="Times New Roman"/>
          <w:sz w:val="28"/>
          <w:szCs w:val="28"/>
        </w:rPr>
        <w:t xml:space="preserve">Dorsal fin with 8 spines followed by 11 - 12 rays, a very deep notch almost dividing spiny from soft part of </w:t>
      </w:r>
      <w:r w:rsidR="004337AC" w:rsidRPr="00021F3D">
        <w:rPr>
          <w:rFonts w:ascii="Times New Roman" w:eastAsia="Times New Roman" w:hAnsi="Times New Roman" w:cs="Times New Roman"/>
          <w:sz w:val="28"/>
          <w:szCs w:val="28"/>
        </w:rPr>
        <w:t>the fin</w:t>
      </w:r>
      <w:r w:rsidR="00013445" w:rsidRPr="00021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3ED0" w:rsidRPr="00021F3D">
        <w:rPr>
          <w:sz w:val="28"/>
          <w:szCs w:val="28"/>
        </w:rPr>
        <w:t xml:space="preserve"> </w:t>
      </w:r>
      <w:r w:rsidR="00C73ED0" w:rsidRPr="00021F3D">
        <w:rPr>
          <w:rFonts w:ascii="Times New Roman" w:eastAsia="Times New Roman" w:hAnsi="Times New Roman" w:cs="Times New Roman"/>
          <w:sz w:val="28"/>
          <w:szCs w:val="28"/>
        </w:rPr>
        <w:t>Anal fin with 3 spines followed by 7 - 8 rays.</w:t>
      </w:r>
      <w:r w:rsidR="00C73ED0" w:rsidRPr="00021F3D">
        <w:rPr>
          <w:sz w:val="28"/>
          <w:szCs w:val="28"/>
        </w:rPr>
        <w:t xml:space="preserve"> </w:t>
      </w:r>
      <w:r w:rsidR="00C73ED0" w:rsidRPr="00021F3D">
        <w:rPr>
          <w:rFonts w:ascii="Times New Roman" w:eastAsia="Times New Roman" w:hAnsi="Times New Roman" w:cs="Times New Roman"/>
          <w:sz w:val="28"/>
          <w:szCs w:val="28"/>
        </w:rPr>
        <w:t>Pectoral fin short and rounded, strong serrations above its base. Anal fin rounded, with 3 spines and 7 to 8 short rays. Caudal fin rounded.</w:t>
      </w:r>
      <w:r w:rsidR="004337AC" w:rsidRPr="00021F3D">
        <w:rPr>
          <w:sz w:val="28"/>
          <w:szCs w:val="28"/>
        </w:rPr>
        <w:t xml:space="preserve"> </w:t>
      </w:r>
      <w:r w:rsidR="004337AC" w:rsidRPr="00021F3D">
        <w:rPr>
          <w:rFonts w:ascii="Times New Roman" w:eastAsia="Times New Roman" w:hAnsi="Times New Roman" w:cs="Times New Roman"/>
          <w:sz w:val="28"/>
          <w:szCs w:val="28"/>
        </w:rPr>
        <w:t>The total gill rakers ranged from 13 to 14 (table, 2).</w:t>
      </w:r>
      <w:r w:rsidRPr="00021F3D">
        <w:rPr>
          <w:sz w:val="28"/>
          <w:szCs w:val="28"/>
        </w:rPr>
        <w:t xml:space="preserve"> </w:t>
      </w:r>
      <w:r w:rsidRPr="00021F3D">
        <w:rPr>
          <w:rFonts w:ascii="Times New Roman" w:eastAsia="Times New Roman" w:hAnsi="Times New Roman" w:cs="Times New Roman"/>
          <w:sz w:val="28"/>
          <w:szCs w:val="28"/>
        </w:rPr>
        <w:t>Colour is olive brown above with silver sides and belly.</w:t>
      </w:r>
    </w:p>
    <w:p w:rsidR="00F6576B" w:rsidRDefault="00F6576B" w:rsidP="00F65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76B" w:rsidRDefault="00F6576B" w:rsidP="00F6576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2443317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19" cy="24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6C" w:rsidRDefault="0045376C" w:rsidP="0045376C">
      <w:pPr>
        <w:bidi w:val="0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2206CE">
        <w:rPr>
          <w:rFonts w:ascii="Times New Roman" w:eastAsia="Times New Roman" w:hAnsi="Times New Roman" w:cs="Times New Roman"/>
          <w:sz w:val="24"/>
          <w:szCs w:val="24"/>
          <w:lang w:bidi="ar-IQ"/>
        </w:rPr>
        <w:t>Figure 2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r w:rsidRPr="002206CE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45376C">
        <w:rPr>
          <w:rFonts w:ascii="Times New Roman" w:eastAsia="Times New Roman" w:hAnsi="Times New Roman" w:cs="Times New Roman"/>
          <w:i/>
          <w:iCs/>
          <w:sz w:val="24"/>
          <w:szCs w:val="24"/>
          <w:lang w:bidi="ar-IQ"/>
        </w:rPr>
        <w:t xml:space="preserve">Lates calcarifer </w:t>
      </w:r>
      <w:r w:rsidRPr="002206CE">
        <w:rPr>
          <w:rFonts w:ascii="Times New Roman" w:eastAsia="Times New Roman" w:hAnsi="Times New Roman" w:cs="Times New Roman"/>
          <w:sz w:val="24"/>
          <w:szCs w:val="24"/>
          <w:lang w:bidi="ar-IQ"/>
        </w:rPr>
        <w:t>from the Shatt Al-Arab river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</w:p>
    <w:p w:rsidR="00004E2E" w:rsidRDefault="00004E2E" w:rsidP="00004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E2E" w:rsidRPr="00004E2E" w:rsidRDefault="00004E2E" w:rsidP="00004E2E">
      <w:pPr>
        <w:bidi w:val="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Table (1). Morphometric characters of  </w:t>
      </w:r>
      <w:r w:rsidRPr="00004E2E">
        <w:rPr>
          <w:rFonts w:ascii="Times New Roman" w:eastAsia="Calibri" w:hAnsi="Times New Roman" w:cs="Times New Roman"/>
          <w:i/>
          <w:iCs/>
          <w:sz w:val="28"/>
          <w:szCs w:val="28"/>
        </w:rPr>
        <w:t>Lates calcarifer</w:t>
      </w: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from </w:t>
      </w:r>
      <w:r w:rsidRPr="00004E2E">
        <w:rPr>
          <w:rFonts w:ascii="Times New Roman" w:eastAsia="Calibri" w:hAnsi="Times New Roman" w:cs="Times New Roman"/>
          <w:sz w:val="28"/>
          <w:szCs w:val="28"/>
        </w:rPr>
        <w:t>the Shatt al-Arab river</w:t>
      </w: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04E2E" w:rsidRPr="00004E2E" w:rsidRDefault="00004E2E" w:rsidP="00004E2E">
      <w:pPr>
        <w:bidi w:val="0"/>
        <w:rPr>
          <w:rFonts w:ascii="Times New Roman" w:eastAsia="Calibri" w:hAnsi="Times New Roman" w:cs="Times New Roman"/>
          <w:sz w:val="4"/>
          <w:szCs w:val="4"/>
          <w:lang w:bidi="ar-IQ"/>
        </w:rPr>
      </w:pPr>
    </w:p>
    <w:tbl>
      <w:tblPr>
        <w:bidiVisual/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1775"/>
        <w:gridCol w:w="3470"/>
      </w:tblGrid>
      <w:tr w:rsidR="00004E2E" w:rsidRPr="00004E2E" w:rsidTr="005009F2">
        <w:trPr>
          <w:trHeight w:val="545"/>
        </w:trPr>
        <w:tc>
          <w:tcPr>
            <w:tcW w:w="1276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SD</w:t>
            </w:r>
          </w:p>
        </w:tc>
        <w:tc>
          <w:tcPr>
            <w:tcW w:w="1417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Mean</w:t>
            </w:r>
          </w:p>
        </w:tc>
        <w:tc>
          <w:tcPr>
            <w:tcW w:w="1775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Range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Morphometric characters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26.30</w:t>
            </w:r>
          </w:p>
        </w:tc>
        <w:tc>
          <w:tcPr>
            <w:tcW w:w="1417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311.5</w:t>
            </w:r>
          </w:p>
        </w:tc>
        <w:tc>
          <w:tcPr>
            <w:tcW w:w="1775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282 - 345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Total length (mm)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23.23</w:t>
            </w:r>
          </w:p>
        </w:tc>
        <w:tc>
          <w:tcPr>
            <w:tcW w:w="1417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254.5</w:t>
            </w:r>
          </w:p>
        </w:tc>
        <w:tc>
          <w:tcPr>
            <w:tcW w:w="1775" w:type="dxa"/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230 - 285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Standard length (mm)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0.94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31.22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29.73 - 32.63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Body depth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0.74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15.33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14.66 - 16.87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Body width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0.79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34.82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33.31 - 35.84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Head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1.32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20.47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18.30 - 22.06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Head depth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0.42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11.63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11.03 - 12.16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Head width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0.14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7.94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7.72 - 8.15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Snout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0.30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4.62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4.16 - 4.96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Eye diameter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lastRenderedPageBreak/>
              <w:t>0.28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3.93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3.46 - 4.27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Interorbital distance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0.88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41.07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40.00 - 42.55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Predorsal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0.94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17.46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16.16 - 18.84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Postdorsal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1.17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22.16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20.57 - 23.75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</w:t>
            </w: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IQ"/>
              </w:rPr>
              <w:t>st</w:t>
            </w: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Dorsal fin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0.90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19.33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17.70 - 20.67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</w:t>
            </w: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Dorsal fin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0.64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13.84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13.04 - 15.03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Anal fin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0.70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17.47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16.83 - 18.95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Pectoral fin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0.75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21.28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19.85 - 22.30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Pelvic fin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1.31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17.62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16.59 - 20.33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Caudal peduncle length % in SL</w:t>
            </w:r>
          </w:p>
        </w:tc>
      </w:tr>
      <w:tr w:rsidR="00004E2E" w:rsidRPr="00004E2E" w:rsidTr="005009F2">
        <w:trPr>
          <w:trHeight w:val="454"/>
        </w:trPr>
        <w:tc>
          <w:tcPr>
            <w:tcW w:w="1276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0.24</w:t>
            </w:r>
          </w:p>
        </w:tc>
        <w:tc>
          <w:tcPr>
            <w:tcW w:w="1417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12.07</w:t>
            </w:r>
          </w:p>
        </w:tc>
        <w:tc>
          <w:tcPr>
            <w:tcW w:w="1775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11.71 - 12.36</w:t>
            </w:r>
          </w:p>
        </w:tc>
        <w:tc>
          <w:tcPr>
            <w:tcW w:w="3470" w:type="dxa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Caudal peduncle depth % in SL</w:t>
            </w:r>
          </w:p>
        </w:tc>
      </w:tr>
    </w:tbl>
    <w:p w:rsidR="00004E2E" w:rsidRPr="00004E2E" w:rsidRDefault="00004E2E" w:rsidP="00004E2E">
      <w:pPr>
        <w:bidi w:val="0"/>
        <w:rPr>
          <w:rFonts w:ascii="Calibri" w:eastAsia="Calibri" w:hAnsi="Calibri" w:cs="Arial"/>
          <w:lang w:bidi="ar-IQ"/>
        </w:rPr>
      </w:pPr>
    </w:p>
    <w:p w:rsidR="00004E2E" w:rsidRPr="00004E2E" w:rsidRDefault="00004E2E" w:rsidP="00004E2E">
      <w:pPr>
        <w:bidi w:val="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>Table (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>2</w:t>
      </w: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). Meristic characters of </w:t>
      </w:r>
      <w:r w:rsidRPr="00004E2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Lates calcarifer </w:t>
      </w: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from </w:t>
      </w:r>
      <w:r w:rsidRPr="00004E2E">
        <w:rPr>
          <w:rFonts w:ascii="Times New Roman" w:eastAsia="Calibri" w:hAnsi="Times New Roman" w:cs="Times New Roman"/>
          <w:sz w:val="28"/>
          <w:szCs w:val="28"/>
        </w:rPr>
        <w:t>the Shatt al-Arab river</w:t>
      </w:r>
      <w:r w:rsidRPr="00004E2E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tbl>
      <w:tblPr>
        <w:bidiVisual/>
        <w:tblW w:w="0" w:type="auto"/>
        <w:tblInd w:w="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60"/>
        <w:gridCol w:w="2159"/>
      </w:tblGrid>
      <w:tr w:rsidR="00004E2E" w:rsidRPr="00004E2E" w:rsidTr="00004E2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Range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Meristic characters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56 - 64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Lateral Line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6 - 7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Simplified Arabic"/>
                <w:sz w:val="24"/>
                <w:szCs w:val="24"/>
              </w:rPr>
              <w:t>Scales above the lateral line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10 - 11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Simplified Arabic"/>
                <w:sz w:val="24"/>
                <w:szCs w:val="24"/>
              </w:rPr>
              <w:t>Scales below the lateral line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spines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Dorsal fin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11 - 12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soft rays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spines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Anal fin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7 - 8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soft rays 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16 - 17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Pectoral fin rays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spines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Pelvic fin</w:t>
            </w: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Soft rays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04E2E" w:rsidRPr="00004E2E" w:rsidTr="00004E2E">
        <w:trPr>
          <w:trHeight w:val="340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13 - 14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E" w:rsidRPr="00004E2E" w:rsidRDefault="00004E2E" w:rsidP="00004E2E">
            <w:pPr>
              <w:bidi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04E2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Gill rakers</w:t>
            </w:r>
          </w:p>
        </w:tc>
      </w:tr>
    </w:tbl>
    <w:p w:rsidR="00004E2E" w:rsidRPr="00021F3D" w:rsidRDefault="00004E2E" w:rsidP="00004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6D2" w:rsidRDefault="004C16D2" w:rsidP="004C16D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311" w:rsidRPr="008E6311" w:rsidRDefault="008E6311" w:rsidP="008E0C20">
      <w:pPr>
        <w:tabs>
          <w:tab w:val="left" w:pos="2020"/>
          <w:tab w:val="center" w:pos="4153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8E6311" w:rsidRPr="008E6311" w:rsidSect="0063089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74004"/>
    <w:rsid w:val="00004E2E"/>
    <w:rsid w:val="00013445"/>
    <w:rsid w:val="00021F3D"/>
    <w:rsid w:val="00047243"/>
    <w:rsid w:val="00057800"/>
    <w:rsid w:val="00123981"/>
    <w:rsid w:val="001670C3"/>
    <w:rsid w:val="0017460A"/>
    <w:rsid w:val="001A3B20"/>
    <w:rsid w:val="00305BFE"/>
    <w:rsid w:val="00330101"/>
    <w:rsid w:val="003723F6"/>
    <w:rsid w:val="00391531"/>
    <w:rsid w:val="004337AC"/>
    <w:rsid w:val="00434B40"/>
    <w:rsid w:val="0045376C"/>
    <w:rsid w:val="00471DFB"/>
    <w:rsid w:val="004C16D2"/>
    <w:rsid w:val="004E2C6C"/>
    <w:rsid w:val="00503D82"/>
    <w:rsid w:val="00587C7E"/>
    <w:rsid w:val="0059649D"/>
    <w:rsid w:val="006157FF"/>
    <w:rsid w:val="00622F1E"/>
    <w:rsid w:val="0063089F"/>
    <w:rsid w:val="00661232"/>
    <w:rsid w:val="006F3164"/>
    <w:rsid w:val="00773C86"/>
    <w:rsid w:val="007D6952"/>
    <w:rsid w:val="008025A5"/>
    <w:rsid w:val="008E0C20"/>
    <w:rsid w:val="008E6311"/>
    <w:rsid w:val="008F2511"/>
    <w:rsid w:val="009817F7"/>
    <w:rsid w:val="00AB7505"/>
    <w:rsid w:val="00BD371F"/>
    <w:rsid w:val="00C24417"/>
    <w:rsid w:val="00C54607"/>
    <w:rsid w:val="00C73ED0"/>
    <w:rsid w:val="00C74004"/>
    <w:rsid w:val="00CE5E14"/>
    <w:rsid w:val="00D22489"/>
    <w:rsid w:val="00D75A66"/>
    <w:rsid w:val="00DB2FA1"/>
    <w:rsid w:val="00DC7188"/>
    <w:rsid w:val="00DE23CE"/>
    <w:rsid w:val="00ED46F0"/>
    <w:rsid w:val="00F6576B"/>
    <w:rsid w:val="00FA380B"/>
    <w:rsid w:val="00FC5198"/>
    <w:rsid w:val="00FE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0C2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6879-FF1E-46FF-8F47-4C660FDD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31</cp:revision>
  <dcterms:created xsi:type="dcterms:W3CDTF">2020-01-13T06:52:00Z</dcterms:created>
  <dcterms:modified xsi:type="dcterms:W3CDTF">2020-02-03T07:04:00Z</dcterms:modified>
</cp:coreProperties>
</file>