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FE9C1" w14:textId="77777777" w:rsidR="00B563D8" w:rsidRDefault="00B675DE" w:rsidP="00B563D8">
      <w:pPr>
        <w:rPr>
          <w:rFonts w:ascii="Simplified Arabic" w:hAnsi="Simplified Arabic"/>
          <w:b/>
          <w:bCs/>
          <w:sz w:val="32"/>
          <w:szCs w:val="32"/>
          <w:rtl/>
        </w:rPr>
      </w:pPr>
      <w:r w:rsidRPr="00B563D8">
        <w:rPr>
          <w:rFonts w:ascii="Simplified Arabic" w:hAnsi="Simplified Arabic"/>
          <w:b/>
          <w:bCs/>
          <w:sz w:val="32"/>
          <w:szCs w:val="32"/>
          <w:rtl/>
        </w:rPr>
        <w:t xml:space="preserve">القرآن وإطلاق </w:t>
      </w:r>
      <w:r w:rsidR="00896108" w:rsidRPr="00B563D8">
        <w:rPr>
          <w:rFonts w:ascii="Simplified Arabic" w:hAnsi="Simplified Arabic"/>
          <w:b/>
          <w:bCs/>
          <w:sz w:val="32"/>
          <w:szCs w:val="32"/>
          <w:rtl/>
        </w:rPr>
        <w:t>أ</w:t>
      </w:r>
      <w:r w:rsidRPr="00B563D8">
        <w:rPr>
          <w:rFonts w:ascii="Simplified Arabic" w:hAnsi="Simplified Arabic"/>
          <w:b/>
          <w:bCs/>
          <w:sz w:val="32"/>
          <w:szCs w:val="32"/>
          <w:rtl/>
        </w:rPr>
        <w:t>دلة أحكامه من حيث الزمان</w:t>
      </w:r>
    </w:p>
    <w:p w14:paraId="7E381A07" w14:textId="5A57888C" w:rsidR="00980344" w:rsidRPr="00B563D8" w:rsidRDefault="00980344" w:rsidP="00B563D8">
      <w:pPr>
        <w:rPr>
          <w:rFonts w:ascii="Simplified Arabic" w:hAnsi="Simplified Arabic"/>
          <w:sz w:val="32"/>
          <w:szCs w:val="32"/>
          <w:rtl/>
        </w:rPr>
      </w:pPr>
      <w:r w:rsidRPr="00B563D8">
        <w:rPr>
          <w:rFonts w:ascii="Simplified Arabic" w:hAnsi="Simplified Arabic"/>
          <w:b/>
          <w:bCs/>
          <w:sz w:val="32"/>
          <w:szCs w:val="32"/>
          <w:rtl/>
        </w:rPr>
        <w:t xml:space="preserve">أو </w:t>
      </w:r>
      <w:r w:rsidRPr="00B563D8">
        <w:rPr>
          <w:rStyle w:val="3Char"/>
          <w:rFonts w:ascii="Simplified Arabic" w:hAnsi="Simplified Arabic" w:cs="Simplified Arabic"/>
          <w:sz w:val="32"/>
          <w:szCs w:val="32"/>
          <w:rtl/>
        </w:rPr>
        <w:t>القرآن والأصل في تاريخية دلالاته عند الشك</w:t>
      </w:r>
    </w:p>
    <w:p w14:paraId="051F0D45" w14:textId="77777777" w:rsidR="00B563D8" w:rsidRDefault="00B563D8" w:rsidP="00B563D8">
      <w:pPr>
        <w:rPr>
          <w:b/>
          <w:bCs/>
          <w:sz w:val="32"/>
          <w:szCs w:val="32"/>
          <w:rtl/>
        </w:rPr>
      </w:pPr>
    </w:p>
    <w:p w14:paraId="15708B04" w14:textId="6B1E513A" w:rsidR="00980344" w:rsidRPr="00B563D8" w:rsidRDefault="00980344" w:rsidP="00B563D8">
      <w:pPr>
        <w:rPr>
          <w:b/>
          <w:bCs/>
          <w:sz w:val="32"/>
          <w:szCs w:val="32"/>
          <w:rtl/>
        </w:rPr>
      </w:pPr>
      <w:r w:rsidRPr="00B563D8">
        <w:rPr>
          <w:rFonts w:hint="cs"/>
          <w:b/>
          <w:bCs/>
          <w:sz w:val="32"/>
          <w:szCs w:val="32"/>
          <w:rtl/>
        </w:rPr>
        <w:t>بحث منشور على صفحة الفيسبوك</w:t>
      </w:r>
    </w:p>
    <w:p w14:paraId="0A49CFDF" w14:textId="7A4370D8" w:rsidR="00980344" w:rsidRPr="00B563D8" w:rsidRDefault="00980344" w:rsidP="00B563D8">
      <w:pPr>
        <w:rPr>
          <w:b/>
          <w:bCs/>
          <w:sz w:val="32"/>
          <w:szCs w:val="32"/>
          <w:rtl/>
        </w:rPr>
      </w:pPr>
      <w:proofErr w:type="spellStart"/>
      <w:r w:rsidRPr="00B563D8">
        <w:rPr>
          <w:rFonts w:hint="cs"/>
          <w:b/>
          <w:bCs/>
          <w:sz w:val="32"/>
          <w:szCs w:val="32"/>
          <w:rtl/>
        </w:rPr>
        <w:t>أ.م.د</w:t>
      </w:r>
      <w:proofErr w:type="spellEnd"/>
      <w:r w:rsidRPr="00B563D8">
        <w:rPr>
          <w:rFonts w:hint="cs"/>
          <w:b/>
          <w:bCs/>
          <w:sz w:val="32"/>
          <w:szCs w:val="32"/>
          <w:rtl/>
        </w:rPr>
        <w:t>. فلاح عبد الحسن هاشم</w:t>
      </w:r>
    </w:p>
    <w:p w14:paraId="084D095B" w14:textId="325E6E78" w:rsidR="00980344" w:rsidRPr="00B563D8" w:rsidRDefault="00980344" w:rsidP="00B563D8">
      <w:pPr>
        <w:rPr>
          <w:b/>
          <w:bCs/>
          <w:sz w:val="32"/>
          <w:szCs w:val="32"/>
          <w:rtl/>
        </w:rPr>
      </w:pPr>
      <w:r w:rsidRPr="00B563D8">
        <w:rPr>
          <w:rFonts w:hint="cs"/>
          <w:b/>
          <w:bCs/>
          <w:sz w:val="32"/>
          <w:szCs w:val="32"/>
          <w:rtl/>
        </w:rPr>
        <w:t>جامعة البصرة</w:t>
      </w:r>
    </w:p>
    <w:p w14:paraId="6BC0D0AD" w14:textId="059B48ED" w:rsidR="00980344" w:rsidRPr="00B563D8" w:rsidRDefault="00980344" w:rsidP="00B563D8">
      <w:pPr>
        <w:rPr>
          <w:b/>
          <w:bCs/>
          <w:sz w:val="32"/>
          <w:szCs w:val="32"/>
          <w:rtl/>
        </w:rPr>
      </w:pPr>
      <w:r w:rsidRPr="00B563D8">
        <w:rPr>
          <w:rFonts w:hint="cs"/>
          <w:b/>
          <w:bCs/>
          <w:sz w:val="32"/>
          <w:szCs w:val="32"/>
          <w:rtl/>
        </w:rPr>
        <w:t>كلية التربية للعلوم الإنسانية</w:t>
      </w:r>
    </w:p>
    <w:p w14:paraId="314961F9" w14:textId="134CB276" w:rsidR="00980344" w:rsidRDefault="00980344" w:rsidP="00B563D8">
      <w:pPr>
        <w:rPr>
          <w:b/>
          <w:bCs/>
          <w:sz w:val="32"/>
          <w:szCs w:val="32"/>
          <w:rtl/>
        </w:rPr>
      </w:pPr>
      <w:r w:rsidRPr="00B563D8">
        <w:rPr>
          <w:rFonts w:hint="cs"/>
          <w:b/>
          <w:bCs/>
          <w:sz w:val="32"/>
          <w:szCs w:val="32"/>
          <w:rtl/>
        </w:rPr>
        <w:t>قسم علوم القرآن والتربية الإسلامية</w:t>
      </w:r>
    </w:p>
    <w:p w14:paraId="4BB1C1FE" w14:textId="77777777" w:rsidR="00B563D8" w:rsidRDefault="00B563D8" w:rsidP="00B563D8">
      <w:pPr>
        <w:rPr>
          <w:b/>
          <w:bCs/>
          <w:sz w:val="32"/>
          <w:szCs w:val="32"/>
          <w:rtl/>
        </w:rPr>
      </w:pPr>
    </w:p>
    <w:p w14:paraId="00671AA9" w14:textId="4218C7B2" w:rsidR="00B563D8" w:rsidRPr="00B563D8" w:rsidRDefault="00B563D8" w:rsidP="00B563D8">
      <w:pPr>
        <w:rPr>
          <w:b/>
          <w:bCs/>
          <w:sz w:val="32"/>
          <w:szCs w:val="32"/>
          <w:rtl/>
        </w:rPr>
      </w:pPr>
      <w:r>
        <w:rPr>
          <w:rFonts w:hint="cs"/>
          <w:b/>
          <w:bCs/>
          <w:sz w:val="32"/>
          <w:szCs w:val="32"/>
          <w:rtl/>
        </w:rPr>
        <w:t>تمهيد</w:t>
      </w:r>
    </w:p>
    <w:p w14:paraId="2735F20F" w14:textId="3984B6A2" w:rsidR="00896108" w:rsidRPr="00896108" w:rsidRDefault="00896108" w:rsidP="00896108">
      <w:pPr>
        <w:rPr>
          <w:rtl/>
        </w:rPr>
      </w:pPr>
      <w:r>
        <w:rPr>
          <w:rFonts w:hint="cs"/>
          <w:rtl/>
        </w:rPr>
        <w:t xml:space="preserve">القرآن واضح في معناه، والإطلاق يعني العموم والشمول والاستغراق، وأدلة الأحكام تعني الآيات القرآنية التي </w:t>
      </w:r>
      <w:r w:rsidR="002E24E3">
        <w:rPr>
          <w:rFonts w:hint="cs"/>
          <w:rtl/>
        </w:rPr>
        <w:t xml:space="preserve">تتضمن حكماَ شرعياً. وهكذا يكون موضوع البحث هو مقدار الشمول في آيات الأحكام في </w:t>
      </w:r>
      <w:r w:rsidR="002E24E3">
        <w:rPr>
          <w:rFonts w:cs="Amiri" w:hint="cs"/>
          <w:rtl/>
        </w:rPr>
        <w:t>القرآن</w:t>
      </w:r>
      <w:r w:rsidR="002E24E3">
        <w:rPr>
          <w:rFonts w:hint="cs"/>
          <w:rtl/>
        </w:rPr>
        <w:t xml:space="preserve"> من حيث الزمان، فهل يتوقف على زمان خاص أم يمتد في عمود الزمان ويشمل كل الأزمنة؟ وهذا ينشأ من عدة تساؤلات</w:t>
      </w:r>
      <w:r w:rsidR="00585BCA">
        <w:rPr>
          <w:rFonts w:hint="cs"/>
          <w:rtl/>
        </w:rPr>
        <w:t>، منها</w:t>
      </w:r>
      <w:r w:rsidR="002E24E3">
        <w:rPr>
          <w:rFonts w:hint="cs"/>
          <w:rtl/>
        </w:rPr>
        <w:t>:</w:t>
      </w:r>
    </w:p>
    <w:p w14:paraId="74045E95" w14:textId="1106CF14" w:rsidR="00B675DE" w:rsidRDefault="00B675DE" w:rsidP="00585BCA">
      <w:pPr>
        <w:rPr>
          <w:rtl/>
        </w:rPr>
      </w:pPr>
      <w:r>
        <w:rPr>
          <w:rtl/>
        </w:rPr>
        <w:t>هل الأصل في القرآن أن تكون أحكامه مطلقة لكل زمان إلا إذا قامت قرينة على التقييد؟ أم أن الأصل هو التقييد إلا إذا قامت قرينة على الإطلاق الزماني؟</w:t>
      </w:r>
      <w:r w:rsidR="00585BCA">
        <w:rPr>
          <w:rFonts w:hint="cs"/>
          <w:rtl/>
        </w:rPr>
        <w:t xml:space="preserve"> وعلى سبيل المثال: هل</w:t>
      </w:r>
      <w:r>
        <w:rPr>
          <w:rtl/>
        </w:rPr>
        <w:t xml:space="preserve"> أن حكم القرآن: إرث الولد الذكر ضعف أرث </w:t>
      </w:r>
      <w:r w:rsidR="00896108">
        <w:rPr>
          <w:rFonts w:hint="cs"/>
          <w:rtl/>
        </w:rPr>
        <w:t>الإثنى</w:t>
      </w:r>
      <w:r>
        <w:rPr>
          <w:rtl/>
        </w:rPr>
        <w:t>، حكم مطلق لكل زمان؟ أم أنه مقيد بزمان خاص؟</w:t>
      </w:r>
    </w:p>
    <w:p w14:paraId="66AD6619" w14:textId="2E90A7AB" w:rsidR="00B675DE" w:rsidRDefault="00585BCA" w:rsidP="00B675DE">
      <w:pPr>
        <w:rPr>
          <w:rtl/>
        </w:rPr>
      </w:pPr>
      <w:r>
        <w:rPr>
          <w:rFonts w:hint="cs"/>
          <w:rtl/>
        </w:rPr>
        <w:t>لا شك في أن مثل هذا البحث يعد بحثاً ذا أهمية بالغة وبحثاً حساساً جداً.</w:t>
      </w:r>
    </w:p>
    <w:p w14:paraId="2532C38C" w14:textId="6827E282" w:rsidR="00B675DE" w:rsidRDefault="00B675DE" w:rsidP="00B675DE">
      <w:pPr>
        <w:rPr>
          <w:rtl/>
        </w:rPr>
      </w:pPr>
      <w:r>
        <w:rPr>
          <w:rtl/>
        </w:rPr>
        <w:t xml:space="preserve">في هذا السياق يقول شمس الدين رحمه الله: </w:t>
      </w:r>
      <w:r w:rsidR="003A4A7F">
        <w:rPr>
          <w:rFonts w:hint="cs"/>
          <w:rtl/>
        </w:rPr>
        <w:t>"</w:t>
      </w:r>
      <w:r>
        <w:rPr>
          <w:rtl/>
        </w:rPr>
        <w:t>هل جميع نصوص السنة ــ في غير العبادات ــ تعبّر عن تشريعات ثابتة في عمومها أو إطلاقها أو خصوصها أو تقييدها، أو أن الأمر على خلاف ذلك، وأن في الشريعة ــ في غير العبادات ــ نصوصاً تشريعية ثابتة ومطلقة في الزمان والمكان والأحوال، لا مجال لتأويلها أو إعادة تفسيرها أو إدخال أي تغيير بالتعميم أو التخصيص على مدلولها...؟</w:t>
      </w:r>
    </w:p>
    <w:p w14:paraId="27848C01" w14:textId="3E18CB6C" w:rsidR="00B675DE" w:rsidRDefault="00B675DE" w:rsidP="00B675DE">
      <w:pPr>
        <w:rPr>
          <w:rtl/>
        </w:rPr>
      </w:pPr>
      <w:r>
        <w:rPr>
          <w:rtl/>
        </w:rPr>
        <w:t xml:space="preserve"> ثم قال: نحن نميل إلى الفهم الثاني، لكن لا نبني عليه الآن؛ لأنّه يحتاج إلى مزيد من البحث والتأمل والمباحثة مع </w:t>
      </w:r>
      <w:proofErr w:type="gramStart"/>
      <w:r>
        <w:rPr>
          <w:rtl/>
        </w:rPr>
        <w:t>الفقهاء</w:t>
      </w:r>
      <w:r w:rsidR="004D5454" w:rsidRPr="004D5454">
        <w:rPr>
          <w:rFonts w:hint="cs"/>
          <w:vertAlign w:val="superscript"/>
          <w:rtl/>
        </w:rPr>
        <w:t>(</w:t>
      </w:r>
      <w:proofErr w:type="gramEnd"/>
      <w:r w:rsidR="004D5454" w:rsidRPr="00AB778D">
        <w:rPr>
          <w:rStyle w:val="af2"/>
          <w:rtl/>
        </w:rPr>
        <w:footnoteReference w:id="1"/>
      </w:r>
      <w:r w:rsidR="004D5454" w:rsidRPr="004D5454">
        <w:rPr>
          <w:rFonts w:hint="cs"/>
          <w:vertAlign w:val="superscript"/>
          <w:rtl/>
        </w:rPr>
        <w:t>)</w:t>
      </w:r>
      <w:r>
        <w:rPr>
          <w:rtl/>
        </w:rPr>
        <w:t>.</w:t>
      </w:r>
    </w:p>
    <w:p w14:paraId="5840CD9E" w14:textId="30F07CBC" w:rsidR="00212390" w:rsidRDefault="00212390" w:rsidP="00B675DE">
      <w:pPr>
        <w:rPr>
          <w:rtl/>
        </w:rPr>
      </w:pPr>
      <w:r>
        <w:rPr>
          <w:rFonts w:hint="cs"/>
          <w:rtl/>
        </w:rPr>
        <w:t xml:space="preserve">وهذا البحث له صياغة أخرى </w:t>
      </w:r>
      <w:r w:rsidR="00364223">
        <w:rPr>
          <w:rFonts w:hint="cs"/>
          <w:rtl/>
        </w:rPr>
        <w:t>هي تاريخية النص وعدم التاريخية، فالتأريخية تعبير عن وقوف النص على زمن التشريع، وعدم التأريخية تعبير آخر عن امتداد التشريع ليعم جميع الأزمنة.</w:t>
      </w:r>
    </w:p>
    <w:p w14:paraId="4AF23F95" w14:textId="4348A9EA" w:rsidR="000C1AF1" w:rsidRDefault="000C1AF1" w:rsidP="000C1AF1">
      <w:pPr>
        <w:rPr>
          <w:rtl/>
        </w:rPr>
      </w:pPr>
      <w:r>
        <w:rPr>
          <w:rFonts w:hint="cs"/>
          <w:rtl/>
        </w:rPr>
        <w:lastRenderedPageBreak/>
        <w:t>وهذه المسألة</w:t>
      </w:r>
      <w:r>
        <w:rPr>
          <w:rtl/>
        </w:rPr>
        <w:t xml:space="preserve"> لم تبحث مستقلاً في البحوث الدينية التقليدية</w:t>
      </w:r>
      <w:r>
        <w:rPr>
          <w:rFonts w:hint="cs"/>
          <w:rtl/>
        </w:rPr>
        <w:t>، وربما يوجد تناولها بعضهم في بحث استطرادي لكن بنحو قليل.</w:t>
      </w:r>
    </w:p>
    <w:p w14:paraId="5FDC5C67" w14:textId="57E23784" w:rsidR="00335ABE" w:rsidRDefault="00335ABE" w:rsidP="009019E6">
      <w:pPr>
        <w:rPr>
          <w:rtl/>
        </w:rPr>
      </w:pPr>
      <w:r>
        <w:rPr>
          <w:rFonts w:hint="cs"/>
          <w:rtl/>
        </w:rPr>
        <w:t xml:space="preserve">وجدير بالتذكير هنا أن البحث هدفه التعرف على الأصل </w:t>
      </w:r>
      <w:r>
        <w:rPr>
          <w:rtl/>
        </w:rPr>
        <w:t>عند الشك في كون النص الديني تاريخياً أم لا، أو الشك في كونه مطلقاً لكل زمان أم مختصاً بمرحلة زمنية خاصة</w:t>
      </w:r>
      <w:r>
        <w:rPr>
          <w:rFonts w:hint="cs"/>
          <w:rtl/>
        </w:rPr>
        <w:t xml:space="preserve">، وليس هدفه </w:t>
      </w:r>
      <w:r w:rsidR="001F6B8B">
        <w:rPr>
          <w:rFonts w:hint="cs"/>
          <w:rtl/>
        </w:rPr>
        <w:t xml:space="preserve">تأسيس أن الأحكام القرآنية تأريخية أو ليست كذلك. بل إن هناك أحكاماً قد ثبت كونها مطلقة وغير تأريخية، وهناك أحكام أخرى ثبت أنها مقيدة بزمن تشريعها، والبحث يستهدف </w:t>
      </w:r>
      <w:r w:rsidR="009019E6">
        <w:rPr>
          <w:rFonts w:hint="cs"/>
          <w:rtl/>
        </w:rPr>
        <w:t>حكم قرآني معين وشك في شموليته وعدمها،</w:t>
      </w:r>
      <w:r w:rsidR="001F6B8B">
        <w:rPr>
          <w:rtl/>
        </w:rPr>
        <w:t xml:space="preserve"> </w:t>
      </w:r>
      <w:r w:rsidR="009019E6">
        <w:rPr>
          <w:rFonts w:hint="cs"/>
          <w:rtl/>
        </w:rPr>
        <w:t>فهل الأصل فيه التأريخية أم عدم ذلك؟</w:t>
      </w:r>
    </w:p>
    <w:p w14:paraId="2BA77BAE" w14:textId="501F8387" w:rsidR="00212390" w:rsidRDefault="007A01CD" w:rsidP="00B675DE">
      <w:pPr>
        <w:rPr>
          <w:rtl/>
        </w:rPr>
      </w:pPr>
      <w:r>
        <w:rPr>
          <w:rFonts w:hint="cs"/>
          <w:rtl/>
        </w:rPr>
        <w:t>ومما</w:t>
      </w:r>
      <w:r w:rsidR="00B675DE">
        <w:rPr>
          <w:rtl/>
        </w:rPr>
        <w:t xml:space="preserve"> </w:t>
      </w:r>
      <w:r>
        <w:rPr>
          <w:rFonts w:hint="cs"/>
          <w:rtl/>
        </w:rPr>
        <w:t xml:space="preserve">يمكن أن يكون له صلاحية في الاستدلال </w:t>
      </w:r>
      <w:r w:rsidR="00B675DE">
        <w:rPr>
          <w:rtl/>
        </w:rPr>
        <w:t>على ال</w:t>
      </w:r>
      <w:r w:rsidR="00364223">
        <w:rPr>
          <w:rFonts w:hint="cs"/>
          <w:rtl/>
        </w:rPr>
        <w:t>إ</w:t>
      </w:r>
      <w:r w:rsidR="00B675DE">
        <w:rPr>
          <w:rtl/>
        </w:rPr>
        <w:t>طلاق</w:t>
      </w:r>
      <w:r w:rsidR="00364223">
        <w:rPr>
          <w:rFonts w:hint="cs"/>
          <w:rtl/>
        </w:rPr>
        <w:t xml:space="preserve"> (عدم التأريخية):</w:t>
      </w:r>
    </w:p>
    <w:p w14:paraId="387DCBF4" w14:textId="2E1104A1" w:rsidR="00CD1BB4" w:rsidRDefault="00B675DE" w:rsidP="00B675DE">
      <w:pPr>
        <w:rPr>
          <w:rtl/>
        </w:rPr>
      </w:pPr>
      <w:r>
        <w:rPr>
          <w:rtl/>
        </w:rPr>
        <w:t xml:space="preserve"> 1- مقتضى خاتمية </w:t>
      </w:r>
      <w:r w:rsidR="007A01CD">
        <w:rPr>
          <w:rFonts w:hint="cs"/>
          <w:rtl/>
        </w:rPr>
        <w:t xml:space="preserve">وخلود </w:t>
      </w:r>
      <w:r>
        <w:rPr>
          <w:rtl/>
        </w:rPr>
        <w:t>الرسالة</w:t>
      </w:r>
      <w:r w:rsidR="007A01CD">
        <w:rPr>
          <w:rFonts w:hint="cs"/>
          <w:rtl/>
        </w:rPr>
        <w:t xml:space="preserve"> المحمدية</w:t>
      </w:r>
      <w:r>
        <w:rPr>
          <w:rtl/>
        </w:rPr>
        <w:t xml:space="preserve"> 2</w:t>
      </w:r>
      <w:r w:rsidR="007A01CD">
        <w:rPr>
          <w:rFonts w:hint="cs"/>
          <w:rtl/>
        </w:rPr>
        <w:t>-</w:t>
      </w:r>
      <w:r>
        <w:rPr>
          <w:rtl/>
        </w:rPr>
        <w:t xml:space="preserve"> بعض الأدلة الروائية من قبيل: حلال محمد حلال أبداً إلى يوم القيامة، وحرامه حرام أبداً إلى يوم القيامة</w:t>
      </w:r>
      <w:r w:rsidR="007A01CD">
        <w:rPr>
          <w:rFonts w:hint="cs"/>
          <w:rtl/>
        </w:rPr>
        <w:t xml:space="preserve"> 3- الإطلاق اللفظي في الأدلة القرآنية- 4-</w:t>
      </w:r>
      <w:r w:rsidR="000570FA">
        <w:rPr>
          <w:rFonts w:hint="cs"/>
          <w:rtl/>
        </w:rPr>
        <w:t xml:space="preserve"> أصالة عدم النسخ 5-ارتكاز وتسالم العلماء.</w:t>
      </w:r>
    </w:p>
    <w:p w14:paraId="3F18796B" w14:textId="69FFF5E3" w:rsidR="00B675DE" w:rsidRDefault="00B675DE" w:rsidP="00C73057">
      <w:pPr>
        <w:rPr>
          <w:rtl/>
        </w:rPr>
      </w:pPr>
      <w:r>
        <w:rPr>
          <w:rtl/>
        </w:rPr>
        <w:t xml:space="preserve">وقبل ذلك نذكر هنا كلاماً ذكره </w:t>
      </w:r>
      <w:r w:rsidR="00C73057">
        <w:rPr>
          <w:rFonts w:hint="cs"/>
          <w:rtl/>
        </w:rPr>
        <w:t>بعض المفكرين -</w:t>
      </w:r>
      <w:r>
        <w:rPr>
          <w:rtl/>
        </w:rPr>
        <w:t>نصر حامد أبو زيد</w:t>
      </w:r>
      <w:r w:rsidR="00C73057">
        <w:rPr>
          <w:rFonts w:hint="cs"/>
          <w:rtl/>
        </w:rPr>
        <w:t>-</w:t>
      </w:r>
      <w:r>
        <w:rPr>
          <w:rtl/>
        </w:rPr>
        <w:t xml:space="preserve"> الذي يذهب الى عدم الإطلاق في النصوص الدينية وأنها نتاج ثقافي للعصر الذي نزلت فيه</w:t>
      </w:r>
      <w:r w:rsidR="00C73057">
        <w:rPr>
          <w:rFonts w:hint="cs"/>
          <w:rtl/>
        </w:rPr>
        <w:t xml:space="preserve">، على فرق </w:t>
      </w:r>
      <w:r>
        <w:rPr>
          <w:rtl/>
        </w:rPr>
        <w:t xml:space="preserve">بين المعنى والمغزى، فإن النص الديني له معنى وهذا المعنى يدرس دلالته ضمن قواعد اللغة والسياق التاريخي وهو مختص بزمانه، ولكن المغزى أبعد من المعنى وهو ما يكون صالحاً للعصر الراهن. </w:t>
      </w:r>
    </w:p>
    <w:p w14:paraId="48118A03" w14:textId="630FAEEF" w:rsidR="00B675DE" w:rsidRDefault="00B675DE" w:rsidP="00C73057">
      <w:pPr>
        <w:rPr>
          <w:rtl/>
        </w:rPr>
      </w:pPr>
      <w:r>
        <w:rPr>
          <w:rtl/>
        </w:rPr>
        <w:t>يقول: الفرق بين المعنى والمغزى من منظور دراستنا هذه يتركَّز على بُعدَيْن غير منفصلَيْن: البعد الأوّل: أنّ المعنى ذو طابع تاريخيّ، لا يمكن الوصول إليه إلاّ بالمعرفة الدقيقة لكلٍّ من السياق اللغويّ الداخليّ والسياق الثقافيّ الاجتماعيّ الخارجيّ. والمغزى ـ وإنْ كان لا ينفكّ عن المعنى، بل يُلامسه وينطلق منه ـ ذو طابعٍ معاصر، بمعنى أنّه محصَّلة لقراءة عصر غير عصر النصّ.</w:t>
      </w:r>
    </w:p>
    <w:p w14:paraId="7F555B95" w14:textId="784061E9" w:rsidR="00B675DE" w:rsidRDefault="00C73057" w:rsidP="00B675DE">
      <w:pPr>
        <w:rPr>
          <w:rtl/>
        </w:rPr>
      </w:pPr>
      <w:r>
        <w:rPr>
          <w:rFonts w:hint="cs"/>
          <w:rtl/>
        </w:rPr>
        <w:t xml:space="preserve">ولا نريد هنا </w:t>
      </w:r>
      <w:r w:rsidR="00B675DE">
        <w:rPr>
          <w:rtl/>
        </w:rPr>
        <w:t>أن نتكلم في تاريخية النص من عدمها فلا يعنينا هذا، بل نريد أن نؤسس أصلاً فوقانياً يتم الرجوع له عندما نشك أن هذا النص هل هو خاص بمرحلة زمنية أم أنه عابر للأزمان ومطلق؟ فلو قال الله تعالى: للذكر مثل حظ الأنثيين، ولم نكن نعلم أن هذا النص هو مختص بزمانه ولا نعلم أيضاً انه مطلق حتى لزماننا، عندئذ ما هو الأصل وبأي منهما يلحق؟</w:t>
      </w:r>
    </w:p>
    <w:p w14:paraId="0381DE0D" w14:textId="03D4674C" w:rsidR="009F2B8C" w:rsidRDefault="00B675DE" w:rsidP="00A84E99">
      <w:pPr>
        <w:rPr>
          <w:rtl/>
        </w:rPr>
      </w:pPr>
      <w:r>
        <w:rPr>
          <w:rtl/>
        </w:rPr>
        <w:t xml:space="preserve">قلنا </w:t>
      </w:r>
      <w:r w:rsidR="00A84E99">
        <w:rPr>
          <w:rFonts w:hint="cs"/>
          <w:rtl/>
        </w:rPr>
        <w:t>إ</w:t>
      </w:r>
      <w:r>
        <w:rPr>
          <w:rtl/>
        </w:rPr>
        <w:t>ن هنا</w:t>
      </w:r>
      <w:r w:rsidR="00A84E99">
        <w:rPr>
          <w:rFonts w:hint="cs"/>
          <w:rtl/>
        </w:rPr>
        <w:t>ك</w:t>
      </w:r>
      <w:r>
        <w:rPr>
          <w:rtl/>
        </w:rPr>
        <w:t xml:space="preserve"> جملة من الأدلة </w:t>
      </w:r>
      <w:r w:rsidR="00A84E99">
        <w:rPr>
          <w:rFonts w:hint="cs"/>
          <w:rtl/>
        </w:rPr>
        <w:t>تؤسس</w:t>
      </w:r>
      <w:r>
        <w:rPr>
          <w:rtl/>
        </w:rPr>
        <w:t xml:space="preserve"> لكون</w:t>
      </w:r>
      <w:r w:rsidR="00A84E99">
        <w:rPr>
          <w:rFonts w:hint="cs"/>
          <w:rtl/>
        </w:rPr>
        <w:t xml:space="preserve"> القرآن</w:t>
      </w:r>
      <w:r>
        <w:rPr>
          <w:rtl/>
        </w:rPr>
        <w:t xml:space="preserve"> مطلقاً لكل زمان، منها</w:t>
      </w:r>
      <w:r w:rsidR="009F2B8C">
        <w:rPr>
          <w:rFonts w:hint="cs"/>
          <w:rtl/>
        </w:rPr>
        <w:t xml:space="preserve"> أولا:</w:t>
      </w:r>
    </w:p>
    <w:p w14:paraId="08A7528D" w14:textId="01614614" w:rsidR="00B675DE" w:rsidRDefault="009F2B8C" w:rsidP="00A84E99">
      <w:pPr>
        <w:rPr>
          <w:rtl/>
        </w:rPr>
      </w:pPr>
      <w:r w:rsidRPr="009F2B8C">
        <w:rPr>
          <w:rStyle w:val="af1"/>
          <w:rFonts w:ascii="Simplified Arabic" w:hAnsi="Simplified Arabic" w:cs="Simplified Arabic"/>
          <w:rtl/>
        </w:rPr>
        <w:t>الدليل الأول</w:t>
      </w:r>
      <w:r w:rsidRPr="009F2B8C">
        <w:rPr>
          <w:rFonts w:ascii="Simplified Arabic" w:hAnsi="Simplified Arabic"/>
          <w:rtl/>
        </w:rPr>
        <w:t>:</w:t>
      </w:r>
      <w:r w:rsidR="00B675DE">
        <w:rPr>
          <w:rtl/>
        </w:rPr>
        <w:t xml:space="preserve"> الإطلاق اللفظي المستخدم في علم الأصول</w:t>
      </w:r>
      <w:r w:rsidR="00A84E99">
        <w:rPr>
          <w:rFonts w:hint="cs"/>
          <w:rtl/>
        </w:rPr>
        <w:t>.</w:t>
      </w:r>
    </w:p>
    <w:p w14:paraId="1616A299" w14:textId="77777777" w:rsidR="00B675DE" w:rsidRDefault="00B675DE" w:rsidP="00B675DE">
      <w:pPr>
        <w:rPr>
          <w:rtl/>
        </w:rPr>
      </w:pPr>
      <w:r>
        <w:rPr>
          <w:rtl/>
        </w:rPr>
        <w:t xml:space="preserve">وحاصل هذا الدليل: أن المتكلم في مقام البيان، ولم يقيد النص القرآني أو غيره بزمن خاص، ومن هنا تكون النتيجة في صالح أن النص لكل زمان أو ما يعبر عنه بعدم التأريخية. كما لو قلنا </w:t>
      </w:r>
      <w:proofErr w:type="gramStart"/>
      <w:r>
        <w:rPr>
          <w:rtl/>
        </w:rPr>
        <w:t>أن</w:t>
      </w:r>
      <w:proofErr w:type="gramEnd"/>
      <w:r>
        <w:rPr>
          <w:rtl/>
        </w:rPr>
        <w:t xml:space="preserve"> المتكلم حينما تكلم وقال: أكرم العلماء، ومن ثم شككنا أنه ربما مقصوده الجدي هو علماء الفقه، فنقول: حيث </w:t>
      </w:r>
      <w:r>
        <w:rPr>
          <w:rtl/>
        </w:rPr>
        <w:lastRenderedPageBreak/>
        <w:t>إن المتكلم في مقام البيان ولم يقيد كلامه بذكر قيد الفقهاء فالنتيجة أنه يريد طبيعة العالم، وحيث إن العالم ينطبق في الخارج على الفقيه وغيره، عندئذ يتحقق الشمول.</w:t>
      </w:r>
    </w:p>
    <w:p w14:paraId="7D6883F9" w14:textId="4ACDFAE8" w:rsidR="00B675DE" w:rsidRDefault="000570FA" w:rsidP="00B675DE">
      <w:pPr>
        <w:rPr>
          <w:rtl/>
        </w:rPr>
      </w:pPr>
      <w:r w:rsidRPr="000570FA">
        <w:rPr>
          <w:rFonts w:hint="cs"/>
          <w:b/>
          <w:bCs/>
          <w:rtl/>
        </w:rPr>
        <w:t>المناقشة</w:t>
      </w:r>
      <w:r w:rsidR="00B675DE">
        <w:rPr>
          <w:rtl/>
        </w:rPr>
        <w:t>: إننا لا نجزم أن المتكلم في مقام البيان من ناحية الزمان، فلو رجعنا للمشرع العرفي عندما يشرع قانوناً ما، وشككنا في شموله لكل زمان، لا يمكن أن ندعي أن المتكلم ناظر الى جميع الأزمان والى نهاية العالم.</w:t>
      </w:r>
    </w:p>
    <w:p w14:paraId="7A347D4B" w14:textId="7EA00A2B" w:rsidR="00137CAA" w:rsidRDefault="00A84E99" w:rsidP="00137CAA">
      <w:pPr>
        <w:rPr>
          <w:rtl/>
        </w:rPr>
      </w:pPr>
      <w:r w:rsidRPr="009F2B8C">
        <w:rPr>
          <w:rFonts w:hint="cs"/>
          <w:b/>
          <w:bCs/>
          <w:rtl/>
        </w:rPr>
        <w:t>و</w:t>
      </w:r>
      <w:r w:rsidR="00137CAA" w:rsidRPr="009F2B8C">
        <w:rPr>
          <w:b/>
          <w:bCs/>
          <w:rtl/>
        </w:rPr>
        <w:t>الدليل الثاني</w:t>
      </w:r>
      <w:r w:rsidR="00137CAA">
        <w:rPr>
          <w:rtl/>
        </w:rPr>
        <w:t xml:space="preserve"> على عدم التأريخية، وهو خاتمية الرسالة المحمدية، ومقتضى ذلك هو خلود الأحكام واستمرارها زمانياً. فكل دليل أو نص قرآني نشك أنه جاء لمرحلة زمنية أو لكل الأزمنة سوف نتخذ من هذا الدليل ذريعة للقول بأنه نص لكل الأزمنة.</w:t>
      </w:r>
    </w:p>
    <w:p w14:paraId="4AB7AA32" w14:textId="77777777" w:rsidR="00137CAA" w:rsidRDefault="00137CAA" w:rsidP="00137CAA">
      <w:pPr>
        <w:rPr>
          <w:rtl/>
        </w:rPr>
      </w:pPr>
      <w:r>
        <w:rPr>
          <w:rtl/>
        </w:rPr>
        <w:t>وهذا الدليل يمكن مناقشته: أولاً: أن الخاتمية للشريعة لا تتعارض مع أن بعض الأحكام فيها غير خالدة، فلا تستلزم أن جميع أحكامها خالدة، فإن الخلود يصدق مع خلود مبادئ الشريعة لا مع خلود كل جزئياتها. ثانياً: ليس عنوان الخاتمية عنواناً تعبدياً يستلزم شمولاً استغراقياً لكل أفراد الحكم. ثالثاً: قد يكون الخلود للشريعة ليس في الأحكام الفقهية بل في غير ه من أصول العقيدة والأخلاق.</w:t>
      </w:r>
    </w:p>
    <w:p w14:paraId="5FBAF7EC" w14:textId="79D82ED7" w:rsidR="00137CAA" w:rsidRDefault="009F2B8C" w:rsidP="00137CAA">
      <w:pPr>
        <w:rPr>
          <w:rtl/>
        </w:rPr>
      </w:pPr>
      <w:r>
        <w:rPr>
          <w:rFonts w:hint="cs"/>
          <w:rtl/>
        </w:rPr>
        <w:t>الدليل الثالث:</w:t>
      </w:r>
      <w:r w:rsidR="00137CAA">
        <w:rPr>
          <w:rtl/>
        </w:rPr>
        <w:t xml:space="preserve"> </w:t>
      </w:r>
      <w:r>
        <w:rPr>
          <w:rFonts w:hint="cs"/>
          <w:rtl/>
        </w:rPr>
        <w:t>ا</w:t>
      </w:r>
      <w:r w:rsidR="00137CAA">
        <w:rPr>
          <w:rtl/>
        </w:rPr>
        <w:t>لدليل الروائي: حلال محمد حلال إلى يوم القيامة إلخ.</w:t>
      </w:r>
    </w:p>
    <w:p w14:paraId="1FB57A8A" w14:textId="0B8D1D78" w:rsidR="00137CAA" w:rsidRDefault="00137CAA" w:rsidP="00DB7780">
      <w:pPr>
        <w:rPr>
          <w:rtl/>
        </w:rPr>
      </w:pPr>
      <w:r>
        <w:rPr>
          <w:rtl/>
        </w:rPr>
        <w:t>هذا الدليل كما قلنا في صالح عدم التأريخية أي في جانب الاستمرار الزماني للحكم القرآني.</w:t>
      </w:r>
      <w:r w:rsidR="00DB7780">
        <w:rPr>
          <w:rFonts w:hint="cs"/>
          <w:rtl/>
        </w:rPr>
        <w:t xml:space="preserve"> </w:t>
      </w:r>
      <w:r>
        <w:rPr>
          <w:rtl/>
        </w:rPr>
        <w:t>جاء في الكافي: (حلال محمد حلال أبدا إلى يوم القيامة، وحرامه حرام أبدا إلى يوم القيامة...) وهذا الدليل يصلح أن يكون مرجعاً عند الشك في كون حكم مستمراً أم منقطعاً.</w:t>
      </w:r>
    </w:p>
    <w:p w14:paraId="6AD3E288" w14:textId="56637DDA" w:rsidR="00137CAA" w:rsidRDefault="00137CAA" w:rsidP="00137CAA">
      <w:pPr>
        <w:rPr>
          <w:rtl/>
        </w:rPr>
      </w:pPr>
      <w:r w:rsidRPr="000570FA">
        <w:rPr>
          <w:b/>
          <w:bCs/>
          <w:rtl/>
        </w:rPr>
        <w:t>المناقشة</w:t>
      </w:r>
      <w:r>
        <w:rPr>
          <w:rtl/>
        </w:rPr>
        <w:t>: أولاً: هذا الحديث لم يكن متواتراً كما أنه هناك مناقشة في سنده وفي طرقه. ثانياً: هذا الحديث لا يصلح أن يكون مرجعاً في حالة الشك، فلم يؤخذ عنوان الشك في مضمونه، فهو ليس حاله مثل حديث: رفع عن أمتي ما لا يعلمون، الصريح في الجهل والشك. ثالثاً: لا يمكن الجزم بأن مضمونه استمرار كل الأحكام واحداً واحداً على يوم القيامة، هناك أكثر من احتمال: 1- أن يكون مضمونه عدم نسخ شريعة النبي محمد، وهو ما ذهب له الشيخ الأنصاري، بمعنى أن شريعة أحكام الإسلام سواء كانت مستمرة أم مؤقتة لا تنسخ بشريعة أخرى. 2- أنه يدل على استمرار حلّية كلّ ما ثبتت حلّيته، أي أنه يفيد استمرار كلّ حلية على تقدير تحققها وثبوتها، أما إذا ارتفعت الحلية في مورد، فإن الدليل لا يتكفّل لإثبات موضوعه. 3- أنه يدل على بقاء واستمرار التكليف لمن ثبت في حقه فعلاً، بمعنى استمرار المجعول لا الجعل، وهذا القول نقله المراغي بصيغة القيل، في عناوينه.</w:t>
      </w:r>
    </w:p>
    <w:p w14:paraId="42661D0A" w14:textId="4DC70871" w:rsidR="00137CAA" w:rsidRDefault="00DB7780" w:rsidP="00137CAA">
      <w:pPr>
        <w:rPr>
          <w:rtl/>
        </w:rPr>
      </w:pPr>
      <w:r>
        <w:rPr>
          <w:rFonts w:hint="cs"/>
          <w:rtl/>
        </w:rPr>
        <w:t xml:space="preserve">إلى هنا قد </w:t>
      </w:r>
      <w:r w:rsidR="00137CAA">
        <w:rPr>
          <w:rtl/>
        </w:rPr>
        <w:t>ذكرنا ثلاثة أدلة في جانب كون الأصل هو عدم التأريخية، أي الإطلاق الزماني والاستمرار في كل الأزمنة.</w:t>
      </w:r>
    </w:p>
    <w:p w14:paraId="6274D548" w14:textId="679BA499" w:rsidR="00137CAA" w:rsidRDefault="00137CAA" w:rsidP="00137CAA">
      <w:pPr>
        <w:rPr>
          <w:rtl/>
        </w:rPr>
      </w:pPr>
      <w:r w:rsidRPr="00DB7780">
        <w:rPr>
          <w:b/>
          <w:bCs/>
          <w:rtl/>
        </w:rPr>
        <w:lastRenderedPageBreak/>
        <w:t>الدليل الرابع</w:t>
      </w:r>
      <w:r w:rsidR="00DB7780">
        <w:rPr>
          <w:rFonts w:hint="cs"/>
          <w:rtl/>
        </w:rPr>
        <w:t>:</w:t>
      </w:r>
      <w:r>
        <w:rPr>
          <w:rtl/>
        </w:rPr>
        <w:t xml:space="preserve"> هو أصالة عدم النسخ، ببيان: أن التأريخية والقول بالاختصاص الزمني هو تعبير آخر عن النسخ للآية القرآنية الدالة على الحكم وانتهاء أمدها الزماني، وحين الشك في النسخ نستصحب عدم النسخ بالاستصحاب، فثمة يقين سابق بالحكم والآن نشك في ارتفاعه فنستصحب بقاءه.</w:t>
      </w:r>
    </w:p>
    <w:p w14:paraId="37272464" w14:textId="77777777" w:rsidR="00137CAA" w:rsidRDefault="00137CAA" w:rsidP="00137CAA">
      <w:pPr>
        <w:rPr>
          <w:rtl/>
        </w:rPr>
      </w:pPr>
      <w:r w:rsidRPr="000570FA">
        <w:rPr>
          <w:b/>
          <w:bCs/>
          <w:rtl/>
        </w:rPr>
        <w:t>المناقشة</w:t>
      </w:r>
      <w:r>
        <w:rPr>
          <w:rtl/>
        </w:rPr>
        <w:t>: هذا الدليل متوقف على أن أركان الاستصحاب متوفرة فيه، ومن ضمنها وحدة الموضوع فيما بين القضية المتيقنة والمشكوكة. وهنا الموضوع متعدد وليس واحداً. فإن من حصل لهم اليقين بالحكم على نحو اليقين هم أفراد الجيل السابق وقد انعدموا، وأما الشاكون في الحكم هم أفراد الزمن الحاضر، وهؤلاء لم يكونوا متيقنين به بل هو شاكون منذ البداية. فلا يجري الاستصحاب. والجواب عن هذا الإشكال بإضافة قاعدة الاشتراك لا يفضي إلى شيء كما أن الجواب بأن الأحكام على نحو القضية الحقيقية لا الخارجية هو أيضاً لا فائدة منه إلا إذا آمنا بالاستصحاب التعليقي.</w:t>
      </w:r>
    </w:p>
    <w:p w14:paraId="50BC60B2" w14:textId="23755E72" w:rsidR="00231BD6" w:rsidRDefault="008D26EC" w:rsidP="00231BD6">
      <w:pPr>
        <w:rPr>
          <w:rtl/>
        </w:rPr>
      </w:pPr>
      <w:r w:rsidRPr="008D26EC">
        <w:rPr>
          <w:rFonts w:hint="cs"/>
          <w:b/>
          <w:bCs/>
          <w:rtl/>
        </w:rPr>
        <w:t>الدليل الخامس:</w:t>
      </w:r>
      <w:r w:rsidR="00231BD6">
        <w:rPr>
          <w:rtl/>
        </w:rPr>
        <w:t xml:space="preserve"> هو تسالم العلماء والمحققين على عدم التاريخية للنص؛ أي تسالمهم وارتكازهم القائم على أن النص القرآني شامل لكل الأزمنة.</w:t>
      </w:r>
    </w:p>
    <w:p w14:paraId="6B7DC7AC" w14:textId="4A0E342A" w:rsidR="00231BD6" w:rsidRDefault="00231BD6" w:rsidP="008D26EC">
      <w:pPr>
        <w:rPr>
          <w:rtl/>
        </w:rPr>
      </w:pPr>
      <w:r>
        <w:rPr>
          <w:rtl/>
        </w:rPr>
        <w:t xml:space="preserve">ويمكن </w:t>
      </w:r>
      <w:r w:rsidRPr="000570FA">
        <w:rPr>
          <w:b/>
          <w:bCs/>
          <w:rtl/>
        </w:rPr>
        <w:t>مناقشة</w:t>
      </w:r>
      <w:r>
        <w:rPr>
          <w:rtl/>
        </w:rPr>
        <w:t xml:space="preserve"> ذلك: بأن هذا التسالم والاتفاق قد يكون ناشئاً من اعتمادهم على أن ذلك هو مقتضى الخاتمية. أو غير ذلك من الأدلة؛ فلا يكون عندئذ لهذا التسالم قيمة مضافة لما مر من الأدلة التي لم تسلم من النقاش.</w:t>
      </w:r>
    </w:p>
    <w:p w14:paraId="5DEBD18A" w14:textId="7D4209B8" w:rsidR="00137CAA" w:rsidRDefault="00231BD6" w:rsidP="008D26EC">
      <w:pPr>
        <w:rPr>
          <w:rtl/>
        </w:rPr>
      </w:pPr>
      <w:r>
        <w:rPr>
          <w:rtl/>
        </w:rPr>
        <w:t>إلى هنا لم نستطع الوصول إلى أصل</w:t>
      </w:r>
      <w:r w:rsidR="008D26EC">
        <w:rPr>
          <w:rFonts w:hint="cs"/>
          <w:rtl/>
        </w:rPr>
        <w:t xml:space="preserve"> نستند له</w:t>
      </w:r>
      <w:r>
        <w:rPr>
          <w:rtl/>
        </w:rPr>
        <w:t xml:space="preserve"> في المسألة</w:t>
      </w:r>
      <w:r w:rsidR="008D26EC">
        <w:rPr>
          <w:rFonts w:hint="cs"/>
          <w:rtl/>
        </w:rPr>
        <w:t xml:space="preserve">، أي حين الشك في كون الدليل القرآني مطلقاً لكل الأزمنة أم مختصاً بزمان التشريع. </w:t>
      </w:r>
      <w:r>
        <w:rPr>
          <w:rtl/>
        </w:rPr>
        <w:t>فلو دار أمر حكم قرآني بين كونه تاريخياً أو عدمه وأنه مطلق لكل زمان؛ سوف نتوقف في الحكم ويكون مجملاً.</w:t>
      </w:r>
    </w:p>
    <w:p w14:paraId="697BD460" w14:textId="77777777" w:rsidR="008D26EC" w:rsidRDefault="008D26EC" w:rsidP="008D26EC">
      <w:pPr>
        <w:rPr>
          <w:rtl/>
        </w:rPr>
      </w:pPr>
    </w:p>
    <w:p w14:paraId="17F5522C" w14:textId="77777777" w:rsidR="00231BD6" w:rsidRDefault="00231BD6" w:rsidP="00231BD6"/>
    <w:sectPr w:rsidR="00231BD6" w:rsidSect="00996C2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F860E" w14:textId="77777777" w:rsidR="004D5454" w:rsidRDefault="004D5454" w:rsidP="004D5454">
      <w:r>
        <w:separator/>
      </w:r>
    </w:p>
  </w:endnote>
  <w:endnote w:type="continuationSeparator" w:id="0">
    <w:p w14:paraId="0A5A28B6" w14:textId="77777777" w:rsidR="004D5454" w:rsidRDefault="004D5454" w:rsidP="004D5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H) Manal Bold">
    <w:panose1 w:val="00000000000000000000"/>
    <w:charset w:val="B2"/>
    <w:family w:val="auto"/>
    <w:pitch w:val="variable"/>
    <w:sig w:usb0="00002001" w:usb1="00000000" w:usb2="00000000" w:usb3="00000000" w:csb0="00000040" w:csb1="00000000"/>
  </w:font>
  <w:font w:name="Adobe Arabic">
    <w:panose1 w:val="02040503050201020203"/>
    <w:charset w:val="00"/>
    <w:family w:val="roman"/>
    <w:notTrueType/>
    <w:pitch w:val="variable"/>
    <w:sig w:usb0="8000202F" w:usb1="8000A04A" w:usb2="00000008" w:usb3="00000000" w:csb0="00000041" w:csb1="00000000"/>
  </w:font>
  <w:font w:name="Lotus">
    <w:altName w:val="Arial"/>
    <w:panose1 w:val="00000400000000000000"/>
    <w:charset w:val="B2"/>
    <w:family w:val="auto"/>
    <w:pitch w:val="variable"/>
    <w:sig w:usb0="00002001" w:usb1="00000000" w:usb2="00000000" w:usb3="00000000" w:csb0="00000040" w:csb1="00000000"/>
  </w:font>
  <w:font w:name="Amiri">
    <w:panose1 w:val="00000500000000000000"/>
    <w:charset w:val="00"/>
    <w:family w:val="auto"/>
    <w:pitch w:val="variable"/>
    <w:sig w:usb0="A000206F" w:usb1="82002042" w:usb2="000000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4497E" w14:textId="77777777" w:rsidR="004D5454" w:rsidRDefault="004D5454" w:rsidP="004D5454">
      <w:r>
        <w:separator/>
      </w:r>
    </w:p>
  </w:footnote>
  <w:footnote w:type="continuationSeparator" w:id="0">
    <w:p w14:paraId="7DC8A405" w14:textId="77777777" w:rsidR="004D5454" w:rsidRDefault="004D5454" w:rsidP="004D5454">
      <w:r>
        <w:continuationSeparator/>
      </w:r>
    </w:p>
  </w:footnote>
  <w:footnote w:id="1">
    <w:p w14:paraId="727A18A9" w14:textId="200031FE" w:rsidR="004D5454" w:rsidRPr="00546F5D" w:rsidRDefault="004D5454" w:rsidP="005B0281">
      <w:pPr>
        <w:pStyle w:val="af0"/>
        <w:spacing w:line="340" w:lineRule="exact"/>
        <w:rPr>
          <w:rtl/>
        </w:rPr>
      </w:pPr>
      <w:r w:rsidRPr="00546F5D">
        <w:rPr>
          <w:rFonts w:hint="cs"/>
          <w:rtl/>
        </w:rPr>
        <w:t>(</w:t>
      </w:r>
      <w:r w:rsidRPr="00546F5D">
        <w:rPr>
          <w:rStyle w:val="af2"/>
        </w:rPr>
        <w:footnoteRef/>
      </w:r>
      <w:r w:rsidRPr="00546F5D">
        <w:rPr>
          <w:rFonts w:hint="cs"/>
          <w:rtl/>
        </w:rPr>
        <w:t>)</w:t>
      </w:r>
      <w:r>
        <w:rPr>
          <w:rFonts w:hint="cs"/>
          <w:rtl/>
        </w:rPr>
        <w:t xml:space="preserve"> </w:t>
      </w:r>
      <w:r w:rsidRPr="004D5454">
        <w:rPr>
          <w:rtl/>
        </w:rPr>
        <w:t xml:space="preserve">شمس الدين، محمد مهدي، الاجتهاد والتجديد في الفقه الإسلامي: </w:t>
      </w:r>
      <w:r>
        <w:rPr>
          <w:rFonts w:hint="cs"/>
          <w:rtl/>
        </w:rPr>
        <w:t>ص127-129.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C9D"/>
    <w:rsid w:val="000570FA"/>
    <w:rsid w:val="00057C9D"/>
    <w:rsid w:val="000C1AF1"/>
    <w:rsid w:val="00117A1C"/>
    <w:rsid w:val="00137CAA"/>
    <w:rsid w:val="001B602F"/>
    <w:rsid w:val="001F6B8B"/>
    <w:rsid w:val="00212390"/>
    <w:rsid w:val="00231BD6"/>
    <w:rsid w:val="002E24E3"/>
    <w:rsid w:val="00335ABE"/>
    <w:rsid w:val="003516B9"/>
    <w:rsid w:val="00364223"/>
    <w:rsid w:val="003A4A7F"/>
    <w:rsid w:val="004342AA"/>
    <w:rsid w:val="004D5454"/>
    <w:rsid w:val="004F2318"/>
    <w:rsid w:val="00585BCA"/>
    <w:rsid w:val="00743D15"/>
    <w:rsid w:val="007A01CD"/>
    <w:rsid w:val="00896108"/>
    <w:rsid w:val="008D26EC"/>
    <w:rsid w:val="009019E6"/>
    <w:rsid w:val="00921790"/>
    <w:rsid w:val="00980344"/>
    <w:rsid w:val="00996C28"/>
    <w:rsid w:val="009F2B8C"/>
    <w:rsid w:val="00A84E99"/>
    <w:rsid w:val="00B563D8"/>
    <w:rsid w:val="00B675DE"/>
    <w:rsid w:val="00C3020C"/>
    <w:rsid w:val="00C73057"/>
    <w:rsid w:val="00CD1BB4"/>
    <w:rsid w:val="00DB7780"/>
    <w:rsid w:val="00E74A1A"/>
    <w:rsid w:val="00E83BEE"/>
    <w:rsid w:val="00FA3263"/>
    <w:rsid w:val="00FB1913"/>
    <w:rsid w:val="00FF7F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4D669"/>
  <w15:chartTrackingRefBased/>
  <w15:docId w15:val="{5259B89E-C006-47F3-9565-379D22BC4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BCA"/>
    <w:pPr>
      <w:spacing w:after="0" w:line="240" w:lineRule="auto"/>
      <w:ind w:firstLine="454"/>
      <w:jc w:val="both"/>
    </w:pPr>
    <w:rPr>
      <w:rFonts w:cs="Simplified Arabic"/>
      <w:sz w:val="28"/>
      <w:szCs w:val="29"/>
    </w:rPr>
  </w:style>
  <w:style w:type="paragraph" w:styleId="1">
    <w:name w:val="heading 1"/>
    <w:basedOn w:val="a"/>
    <w:next w:val="a"/>
    <w:link w:val="1Char"/>
    <w:uiPriority w:val="9"/>
    <w:qFormat/>
    <w:rsid w:val="00117A1C"/>
    <w:pPr>
      <w:keepNext/>
      <w:keepLines/>
      <w:spacing w:before="240" w:after="60"/>
      <w:outlineLvl w:val="0"/>
    </w:pPr>
    <w:rPr>
      <w:rFonts w:asciiTheme="majorHAnsi" w:eastAsiaTheme="majorEastAsia" w:hAnsiTheme="majorHAnsi" w:cs="(AH) Manal Bold"/>
      <w:sz w:val="34"/>
      <w:szCs w:val="34"/>
    </w:rPr>
  </w:style>
  <w:style w:type="paragraph" w:styleId="2">
    <w:name w:val="heading 2"/>
    <w:basedOn w:val="a"/>
    <w:next w:val="a"/>
    <w:link w:val="2Char"/>
    <w:uiPriority w:val="9"/>
    <w:unhideWhenUsed/>
    <w:qFormat/>
    <w:rsid w:val="00117A1C"/>
    <w:pPr>
      <w:keepNext/>
      <w:keepLines/>
      <w:spacing w:before="200" w:after="40"/>
      <w:ind w:firstLine="567"/>
      <w:outlineLvl w:val="1"/>
    </w:pPr>
    <w:rPr>
      <w:rFonts w:asciiTheme="majorHAnsi" w:eastAsiaTheme="majorEastAsia" w:hAnsiTheme="majorHAnsi" w:cs="(AH) Manal Bold"/>
      <w:sz w:val="32"/>
      <w:szCs w:val="32"/>
    </w:rPr>
  </w:style>
  <w:style w:type="paragraph" w:styleId="3">
    <w:name w:val="heading 3"/>
    <w:basedOn w:val="a"/>
    <w:next w:val="a"/>
    <w:link w:val="3Char"/>
    <w:uiPriority w:val="9"/>
    <w:unhideWhenUsed/>
    <w:qFormat/>
    <w:rsid w:val="00FB1913"/>
    <w:pPr>
      <w:keepNext/>
      <w:keepLines/>
      <w:spacing w:before="160"/>
      <w:ind w:firstLine="794"/>
      <w:outlineLvl w:val="2"/>
    </w:pPr>
    <w:rPr>
      <w:rFonts w:asciiTheme="majorHAnsi" w:eastAsiaTheme="majorEastAsia" w:hAnsiTheme="majorHAnsi" w:cs="Adobe Arabic"/>
      <w:bCs/>
      <w:sz w:val="34"/>
      <w:szCs w:val="3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Reference"/>
    <w:basedOn w:val="a0"/>
    <w:uiPriority w:val="31"/>
    <w:rsid w:val="00FA3263"/>
    <w:rPr>
      <w:smallCaps/>
      <w:color w:val="5A5A5A" w:themeColor="text1" w:themeTint="A5"/>
    </w:rPr>
  </w:style>
  <w:style w:type="paragraph" w:styleId="a4">
    <w:name w:val="Subtitle"/>
    <w:basedOn w:val="a"/>
    <w:next w:val="a"/>
    <w:link w:val="Char"/>
    <w:rsid w:val="00FA3263"/>
    <w:pPr>
      <w:spacing w:after="60"/>
      <w:ind w:firstLine="0"/>
      <w:jc w:val="center"/>
      <w:outlineLvl w:val="1"/>
    </w:pPr>
    <w:rPr>
      <w:rFonts w:asciiTheme="majorHAnsi" w:eastAsiaTheme="majorEastAsia" w:hAnsiTheme="majorHAnsi" w:cstheme="majorBidi"/>
      <w:sz w:val="24"/>
      <w:szCs w:val="24"/>
    </w:rPr>
  </w:style>
  <w:style w:type="character" w:customStyle="1" w:styleId="Char">
    <w:name w:val="عنوان فرعي Char"/>
    <w:basedOn w:val="a0"/>
    <w:link w:val="a4"/>
    <w:rsid w:val="00FA3263"/>
    <w:rPr>
      <w:rFonts w:asciiTheme="majorHAnsi" w:eastAsiaTheme="majorEastAsia" w:hAnsiTheme="majorHAnsi" w:cstheme="majorBidi"/>
      <w:sz w:val="24"/>
      <w:szCs w:val="24"/>
    </w:rPr>
  </w:style>
  <w:style w:type="character" w:styleId="a5">
    <w:name w:val="Subtle Emphasis"/>
    <w:basedOn w:val="a0"/>
    <w:uiPriority w:val="19"/>
    <w:rsid w:val="00FA3263"/>
    <w:rPr>
      <w:i/>
      <w:iCs/>
      <w:color w:val="404040" w:themeColor="text1" w:themeTint="BF"/>
    </w:rPr>
  </w:style>
  <w:style w:type="character" w:styleId="a6">
    <w:name w:val="Emphasis"/>
    <w:basedOn w:val="a0"/>
    <w:rsid w:val="00FA3263"/>
    <w:rPr>
      <w:i/>
      <w:iCs/>
    </w:rPr>
  </w:style>
  <w:style w:type="character" w:styleId="a7">
    <w:name w:val="Intense Emphasis"/>
    <w:basedOn w:val="a0"/>
    <w:uiPriority w:val="21"/>
    <w:rsid w:val="003516B9"/>
    <w:rPr>
      <w:i/>
      <w:iCs/>
      <w:color w:val="4472C4" w:themeColor="accent1"/>
    </w:rPr>
  </w:style>
  <w:style w:type="character" w:styleId="a8">
    <w:name w:val="Strong"/>
    <w:basedOn w:val="a0"/>
    <w:rsid w:val="00FA3263"/>
    <w:rPr>
      <w:b/>
      <w:bCs/>
    </w:rPr>
  </w:style>
  <w:style w:type="paragraph" w:styleId="a9">
    <w:name w:val="Quote"/>
    <w:basedOn w:val="a"/>
    <w:next w:val="a"/>
    <w:link w:val="Char0"/>
    <w:uiPriority w:val="29"/>
    <w:rsid w:val="00FA3263"/>
    <w:pPr>
      <w:spacing w:before="200" w:after="160"/>
      <w:ind w:left="864" w:right="864" w:firstLine="0"/>
      <w:jc w:val="center"/>
    </w:pPr>
    <w:rPr>
      <w:rFonts w:cs="Lotus"/>
      <w:i/>
      <w:iCs/>
      <w:color w:val="404040" w:themeColor="text1" w:themeTint="BF"/>
      <w:sz w:val="24"/>
      <w:szCs w:val="32"/>
    </w:rPr>
  </w:style>
  <w:style w:type="character" w:customStyle="1" w:styleId="Char0">
    <w:name w:val="اقتباس Char"/>
    <w:basedOn w:val="a0"/>
    <w:link w:val="a9"/>
    <w:uiPriority w:val="29"/>
    <w:rsid w:val="00FA3263"/>
    <w:rPr>
      <w:rFonts w:cs="Lotus"/>
      <w:i/>
      <w:iCs/>
      <w:color w:val="404040" w:themeColor="text1" w:themeTint="BF"/>
      <w:sz w:val="24"/>
      <w:szCs w:val="32"/>
    </w:rPr>
  </w:style>
  <w:style w:type="paragraph" w:styleId="aa">
    <w:name w:val="Intense Quote"/>
    <w:basedOn w:val="a"/>
    <w:next w:val="a"/>
    <w:link w:val="Char1"/>
    <w:uiPriority w:val="30"/>
    <w:rsid w:val="00FA3263"/>
    <w:pPr>
      <w:pBdr>
        <w:top w:val="single" w:sz="4" w:space="10" w:color="4472C4" w:themeColor="accent1"/>
        <w:bottom w:val="single" w:sz="4" w:space="10" w:color="4472C4" w:themeColor="accent1"/>
      </w:pBdr>
      <w:spacing w:before="360" w:after="360"/>
      <w:ind w:left="864" w:right="864" w:firstLine="0"/>
      <w:jc w:val="center"/>
    </w:pPr>
    <w:rPr>
      <w:rFonts w:cs="Lotus"/>
      <w:i/>
      <w:iCs/>
      <w:color w:val="4472C4" w:themeColor="accent1"/>
      <w:sz w:val="24"/>
      <w:szCs w:val="32"/>
    </w:rPr>
  </w:style>
  <w:style w:type="character" w:customStyle="1" w:styleId="Char1">
    <w:name w:val="اقتباس مكثف Char"/>
    <w:basedOn w:val="a0"/>
    <w:link w:val="aa"/>
    <w:uiPriority w:val="30"/>
    <w:rsid w:val="00FA3263"/>
    <w:rPr>
      <w:rFonts w:cs="Lotus"/>
      <w:i/>
      <w:iCs/>
      <w:color w:val="4472C4" w:themeColor="accent1"/>
      <w:sz w:val="24"/>
      <w:szCs w:val="32"/>
    </w:rPr>
  </w:style>
  <w:style w:type="character" w:styleId="ab">
    <w:name w:val="Intense Reference"/>
    <w:basedOn w:val="a0"/>
    <w:uiPriority w:val="32"/>
    <w:rsid w:val="00FA3263"/>
    <w:rPr>
      <w:b/>
      <w:bCs/>
      <w:smallCaps/>
      <w:color w:val="4472C4" w:themeColor="accent1"/>
      <w:spacing w:val="5"/>
    </w:rPr>
  </w:style>
  <w:style w:type="character" w:styleId="ac">
    <w:name w:val="Book Title"/>
    <w:basedOn w:val="a0"/>
    <w:uiPriority w:val="33"/>
    <w:rsid w:val="00FA3263"/>
    <w:rPr>
      <w:b/>
      <w:bCs/>
      <w:i/>
      <w:iCs/>
      <w:spacing w:val="5"/>
    </w:rPr>
  </w:style>
  <w:style w:type="paragraph" w:styleId="ad">
    <w:name w:val="List Paragraph"/>
    <w:basedOn w:val="a"/>
    <w:uiPriority w:val="34"/>
    <w:rsid w:val="00FA3263"/>
    <w:pPr>
      <w:ind w:left="720" w:firstLine="0"/>
      <w:jc w:val="left"/>
    </w:pPr>
    <w:rPr>
      <w:rFonts w:ascii="Times New Roman" w:eastAsia="Times New Roman" w:hAnsi="Times New Roman" w:cs="Lotus"/>
      <w:sz w:val="24"/>
      <w:szCs w:val="32"/>
    </w:rPr>
  </w:style>
  <w:style w:type="paragraph" w:styleId="ae">
    <w:name w:val="Title"/>
    <w:basedOn w:val="a"/>
    <w:next w:val="a"/>
    <w:link w:val="Char2"/>
    <w:rsid w:val="00FA3263"/>
    <w:pPr>
      <w:spacing w:before="240" w:after="60"/>
      <w:ind w:firstLine="0"/>
      <w:jc w:val="center"/>
      <w:outlineLvl w:val="0"/>
    </w:pPr>
    <w:rPr>
      <w:rFonts w:asciiTheme="majorHAnsi" w:eastAsiaTheme="majorEastAsia" w:hAnsiTheme="majorHAnsi" w:cstheme="majorBidi"/>
      <w:b/>
      <w:bCs/>
      <w:kern w:val="28"/>
      <w:sz w:val="32"/>
      <w:szCs w:val="32"/>
    </w:rPr>
  </w:style>
  <w:style w:type="character" w:customStyle="1" w:styleId="Char2">
    <w:name w:val="العنوان Char"/>
    <w:basedOn w:val="a0"/>
    <w:link w:val="ae"/>
    <w:rsid w:val="00FA3263"/>
    <w:rPr>
      <w:rFonts w:asciiTheme="majorHAnsi" w:eastAsiaTheme="majorEastAsia" w:hAnsiTheme="majorHAnsi" w:cstheme="majorBidi"/>
      <w:b/>
      <w:bCs/>
      <w:kern w:val="28"/>
      <w:sz w:val="32"/>
      <w:szCs w:val="32"/>
    </w:rPr>
  </w:style>
  <w:style w:type="paragraph" w:styleId="af">
    <w:name w:val="No Spacing"/>
    <w:uiPriority w:val="1"/>
    <w:rsid w:val="00FA3263"/>
    <w:pPr>
      <w:spacing w:after="0" w:line="240" w:lineRule="auto"/>
    </w:pPr>
    <w:rPr>
      <w:rFonts w:ascii="Times New Roman" w:eastAsia="Times New Roman" w:hAnsi="Times New Roman" w:cs="Lotus"/>
      <w:sz w:val="24"/>
      <w:szCs w:val="32"/>
    </w:rPr>
  </w:style>
  <w:style w:type="character" w:customStyle="1" w:styleId="1Char">
    <w:name w:val="العنوان 1 Char"/>
    <w:basedOn w:val="a0"/>
    <w:link w:val="1"/>
    <w:uiPriority w:val="9"/>
    <w:rsid w:val="00117A1C"/>
    <w:rPr>
      <w:rFonts w:asciiTheme="majorHAnsi" w:eastAsiaTheme="majorEastAsia" w:hAnsiTheme="majorHAnsi" w:cs="(AH) Manal Bold"/>
      <w:sz w:val="34"/>
      <w:szCs w:val="34"/>
    </w:rPr>
  </w:style>
  <w:style w:type="character" w:customStyle="1" w:styleId="2Char">
    <w:name w:val="عنوان 2 Char"/>
    <w:basedOn w:val="a0"/>
    <w:link w:val="2"/>
    <w:uiPriority w:val="9"/>
    <w:rsid w:val="00117A1C"/>
    <w:rPr>
      <w:rFonts w:asciiTheme="majorHAnsi" w:eastAsiaTheme="majorEastAsia" w:hAnsiTheme="majorHAnsi" w:cs="(AH) Manal Bold"/>
      <w:sz w:val="32"/>
      <w:szCs w:val="32"/>
    </w:rPr>
  </w:style>
  <w:style w:type="character" w:customStyle="1" w:styleId="3Char">
    <w:name w:val="عنوان 3 Char"/>
    <w:basedOn w:val="a0"/>
    <w:link w:val="3"/>
    <w:uiPriority w:val="9"/>
    <w:rsid w:val="00FB1913"/>
    <w:rPr>
      <w:rFonts w:asciiTheme="majorHAnsi" w:eastAsiaTheme="majorEastAsia" w:hAnsiTheme="majorHAnsi" w:cs="Adobe Arabic"/>
      <w:bCs/>
      <w:sz w:val="34"/>
      <w:szCs w:val="38"/>
    </w:rPr>
  </w:style>
  <w:style w:type="paragraph" w:styleId="af0">
    <w:name w:val="footnote text"/>
    <w:basedOn w:val="a"/>
    <w:link w:val="Char3"/>
    <w:uiPriority w:val="99"/>
    <w:unhideWhenUsed/>
    <w:qFormat/>
    <w:rsid w:val="001B602F"/>
    <w:pPr>
      <w:spacing w:line="320" w:lineRule="exact"/>
      <w:ind w:firstLine="0"/>
    </w:pPr>
    <w:rPr>
      <w:sz w:val="24"/>
      <w:szCs w:val="24"/>
    </w:rPr>
  </w:style>
  <w:style w:type="character" w:customStyle="1" w:styleId="Char3">
    <w:name w:val="نص حاشية سفلية Char"/>
    <w:basedOn w:val="a0"/>
    <w:link w:val="af0"/>
    <w:uiPriority w:val="99"/>
    <w:rsid w:val="001B602F"/>
    <w:rPr>
      <w:rFonts w:cs="Simplified Arabic"/>
      <w:sz w:val="24"/>
      <w:szCs w:val="24"/>
    </w:rPr>
  </w:style>
  <w:style w:type="character" w:customStyle="1" w:styleId="af1">
    <w:name w:val="اقتباسات"/>
    <w:basedOn w:val="a0"/>
    <w:uiPriority w:val="1"/>
    <w:qFormat/>
    <w:rsid w:val="00921790"/>
    <w:rPr>
      <w:rFonts w:cs="Amiri"/>
      <w:bCs/>
      <w:szCs w:val="29"/>
    </w:rPr>
  </w:style>
  <w:style w:type="character" w:styleId="af2">
    <w:name w:val="footnote reference"/>
    <w:basedOn w:val="a0"/>
    <w:uiPriority w:val="99"/>
    <w:semiHidden/>
    <w:unhideWhenUsed/>
    <w:rsid w:val="004D54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1088</Words>
  <Characters>6203</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Falah Al doukhi</dc:creator>
  <cp:keywords/>
  <dc:description/>
  <cp:lastModifiedBy>Falah Al doukhi</cp:lastModifiedBy>
  <cp:revision>8</cp:revision>
  <dcterms:created xsi:type="dcterms:W3CDTF">2021-04-29T17:23:00Z</dcterms:created>
  <dcterms:modified xsi:type="dcterms:W3CDTF">2021-07-01T19:44:00Z</dcterms:modified>
</cp:coreProperties>
</file>